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16773" w14:textId="3F6EDBBA" w:rsidR="00596918" w:rsidRDefault="00596918" w:rsidP="00596918">
      <w:r>
        <w:t xml:space="preserve">Campus Request for Authorization to </w:t>
      </w:r>
      <w:r w:rsidR="00C348C4">
        <w:t>Increase Premium</w:t>
      </w:r>
      <w:r>
        <w:t xml:space="preserve"> Tuition</w:t>
      </w:r>
    </w:p>
    <w:p w14:paraId="6C8A59E0" w14:textId="77777777" w:rsidR="00596918" w:rsidRDefault="00596918" w:rsidP="00596918"/>
    <w:p w14:paraId="12A6E1EF" w14:textId="0A4573B1" w:rsidR="00596918" w:rsidRDefault="004E1AE5" w:rsidP="00596918">
      <w:r>
        <w:t xml:space="preserve">Date: August </w:t>
      </w:r>
      <w:r w:rsidR="00C348C4">
        <w:t>2</w:t>
      </w:r>
      <w:r w:rsidR="009709EC">
        <w:t>5</w:t>
      </w:r>
      <w:r w:rsidR="00C348C4">
        <w:t>, 2016</w:t>
      </w:r>
    </w:p>
    <w:p w14:paraId="27365588" w14:textId="77777777" w:rsidR="00596918" w:rsidRDefault="00596918" w:rsidP="00596918"/>
    <w:p w14:paraId="6A7C15B9" w14:textId="5F26C440" w:rsidR="00596918" w:rsidRDefault="00596918" w:rsidP="00596918">
      <w:r>
        <w:t xml:space="preserve">Institution: </w:t>
      </w:r>
      <w:r w:rsidR="00DD7DC4">
        <w:t>N.C. State</w:t>
      </w:r>
      <w:r>
        <w:t xml:space="preserve"> University</w:t>
      </w:r>
    </w:p>
    <w:p w14:paraId="355A59D0" w14:textId="77777777" w:rsidR="00596918" w:rsidRDefault="00596918" w:rsidP="00596918"/>
    <w:p w14:paraId="408CAD4F" w14:textId="3DEB5C02" w:rsidR="002B27D8" w:rsidRDefault="00596918" w:rsidP="00596918">
      <w:r>
        <w:t>Degree Program CIP</w:t>
      </w:r>
      <w:r w:rsidR="002B27D8">
        <w:t>s</w:t>
      </w:r>
      <w:r w:rsidR="00405966">
        <w:t>*</w:t>
      </w:r>
    </w:p>
    <w:p w14:paraId="6FE182CB" w14:textId="2D861055" w:rsidR="002B27D8" w:rsidRDefault="002B27D8" w:rsidP="00596918">
      <w:r>
        <w:t xml:space="preserve">11.0701 101 000 </w:t>
      </w:r>
      <w:proofErr w:type="gramStart"/>
      <w:r w:rsidR="00A40F73">
        <w:t>A  M</w:t>
      </w:r>
      <w:proofErr w:type="gramEnd"/>
      <w:r>
        <w:t xml:space="preserve"> Computer Science</w:t>
      </w:r>
    </w:p>
    <w:p w14:paraId="47806727" w14:textId="0B2D4B4C" w:rsidR="002B27D8" w:rsidRDefault="002B27D8" w:rsidP="00596918">
      <w:r>
        <w:t xml:space="preserve">11.0701 123 000 </w:t>
      </w:r>
      <w:proofErr w:type="gramStart"/>
      <w:r w:rsidR="00A40F73">
        <w:t>A  MS</w:t>
      </w:r>
      <w:proofErr w:type="gramEnd"/>
      <w:r w:rsidR="00A40F73">
        <w:t xml:space="preserve"> </w:t>
      </w:r>
      <w:r>
        <w:t>Computer Science</w:t>
      </w:r>
    </w:p>
    <w:p w14:paraId="0935866E" w14:textId="77777777" w:rsidR="00405966" w:rsidRDefault="00405966" w:rsidP="00596918"/>
    <w:p w14:paraId="7DA8BF30" w14:textId="33E1044D" w:rsidR="00596918" w:rsidRDefault="00405966" w:rsidP="00596918">
      <w:r>
        <w:t>*At this time, we are not requesting an increase for the Master of Science in Computer Networking program</w:t>
      </w:r>
    </w:p>
    <w:p w14:paraId="61F29F95" w14:textId="77777777" w:rsidR="00405966" w:rsidRDefault="00405966" w:rsidP="00596918"/>
    <w:p w14:paraId="4DBB8607" w14:textId="77777777" w:rsidR="00596918" w:rsidRDefault="00596918" w:rsidP="00596918">
      <w:r>
        <w:t>Level: Masters</w:t>
      </w:r>
    </w:p>
    <w:p w14:paraId="2E11A278" w14:textId="77777777" w:rsidR="00596918" w:rsidRDefault="00596918" w:rsidP="00596918"/>
    <w:p w14:paraId="7592ACF5" w14:textId="77777777" w:rsidR="00596918" w:rsidRDefault="00596918" w:rsidP="00596918">
      <w:r>
        <w:t>Degree Types:</w:t>
      </w:r>
    </w:p>
    <w:p w14:paraId="17022B44" w14:textId="0467026B" w:rsidR="00596918" w:rsidRDefault="00596918" w:rsidP="00596918">
      <w:r>
        <w:t xml:space="preserve">   </w:t>
      </w:r>
      <w:proofErr w:type="gramStart"/>
      <w:r w:rsidR="002B27D8">
        <w:t>see</w:t>
      </w:r>
      <w:proofErr w:type="gramEnd"/>
      <w:r w:rsidR="002B27D8">
        <w:t xml:space="preserve"> above</w:t>
      </w:r>
    </w:p>
    <w:p w14:paraId="494297B5" w14:textId="77777777" w:rsidR="00596918" w:rsidRDefault="00596918" w:rsidP="00596918"/>
    <w:p w14:paraId="1AC2E9F3" w14:textId="77777777" w:rsidR="00596918" w:rsidRDefault="00596918" w:rsidP="00596918">
      <w:r>
        <w:t>Proposed Date of Implementation:</w:t>
      </w:r>
    </w:p>
    <w:p w14:paraId="4295D808" w14:textId="2D5CC992" w:rsidR="00596918" w:rsidRDefault="001123EC" w:rsidP="00596918">
      <w:r>
        <w:t xml:space="preserve">    </w:t>
      </w:r>
      <w:r w:rsidR="00596918">
        <w:t>Semester: Fall</w:t>
      </w:r>
    </w:p>
    <w:p w14:paraId="5CFCCAF4" w14:textId="108C7C03" w:rsidR="00596918" w:rsidRDefault="00596918" w:rsidP="00596918">
      <w:r>
        <w:t xml:space="preserve">    Year: </w:t>
      </w:r>
      <w:r w:rsidR="00C348C4">
        <w:t>2017</w:t>
      </w:r>
    </w:p>
    <w:p w14:paraId="6902E20F" w14:textId="77777777" w:rsidR="00596918" w:rsidRDefault="00596918" w:rsidP="00596918"/>
    <w:p w14:paraId="5FE8D312" w14:textId="77777777" w:rsidR="00DE3E9B" w:rsidRDefault="00DE3E9B" w:rsidP="00596918"/>
    <w:p w14:paraId="2EA7371C" w14:textId="377337B7" w:rsidR="00596918" w:rsidRDefault="00C348C4" w:rsidP="00596918">
      <w:pPr>
        <w:rPr>
          <w:b/>
        </w:rPr>
      </w:pPr>
      <w:r>
        <w:rPr>
          <w:b/>
        </w:rPr>
        <w:t>Introduction</w:t>
      </w:r>
    </w:p>
    <w:p w14:paraId="487E2479" w14:textId="77777777" w:rsidR="00C348C4" w:rsidRDefault="00C348C4" w:rsidP="005012F3"/>
    <w:p w14:paraId="1A792158" w14:textId="700907D7" w:rsidR="00E17588" w:rsidRDefault="00E17588" w:rsidP="005012F3">
      <w:r>
        <w:t>The Computer Science (CSC) department is one of the largest departments at N.C. State University by student enrollment and by the number of graduated students</w:t>
      </w:r>
      <w:r w:rsidR="0089560A">
        <w:t>. It is also one of the largest computer science departments in the nation</w:t>
      </w:r>
      <w:r>
        <w:rPr>
          <w:rStyle w:val="FootnoteReference"/>
        </w:rPr>
        <w:footnoteReference w:id="1"/>
      </w:r>
      <w:r>
        <w:t xml:space="preserve">. </w:t>
      </w:r>
      <w:r w:rsidR="00293ED3">
        <w:t xml:space="preserve">We have over 900 undergraduate and over 700 graduate students of which about 200 are PhD students. We graduate well over 400 students per year (about half are graduate students). </w:t>
      </w:r>
      <w:r>
        <w:t>We are a key department in workforce production relevant to high-technology areas of North Carolina, and we are a top supplier of new university-graduated hires to industry</w:t>
      </w:r>
      <w:r w:rsidR="0089560A">
        <w:t xml:space="preserve"> leaders such as</w:t>
      </w:r>
      <w:r>
        <w:t xml:space="preserve"> IBM, Cisco, SAS, and </w:t>
      </w:r>
      <w:proofErr w:type="spellStart"/>
      <w:r>
        <w:t>NetApp</w:t>
      </w:r>
      <w:proofErr w:type="spellEnd"/>
      <w:r>
        <w:t>. Our students are in great demand and are paid high starting salaries.</w:t>
      </w:r>
      <w:r w:rsidR="00C21497">
        <w:t xml:space="preserve"> Many have multiple offers and go to information technology (IT) giants already mentioned, as well as to such household names as Google, Amazon, Twitter, and Facebook, and </w:t>
      </w:r>
      <w:proofErr w:type="gramStart"/>
      <w:r w:rsidR="00C21497">
        <w:t>financial</w:t>
      </w:r>
      <w:proofErr w:type="gramEnd"/>
      <w:r w:rsidR="00C21497">
        <w:t xml:space="preserve"> industry leaders such as Credit-Suisse, Fidelity investments, and Deutsche Bank.  </w:t>
      </w:r>
      <w:r w:rsidR="009F6A47">
        <w:t>In fact, for a number of high-technology companies (</w:t>
      </w:r>
      <w:proofErr w:type="gramStart"/>
      <w:r w:rsidR="009F6A47">
        <w:t>re)locating</w:t>
      </w:r>
      <w:proofErr w:type="gramEnd"/>
      <w:r w:rsidR="009F6A47">
        <w:t xml:space="preserve"> to North Carolina</w:t>
      </w:r>
      <w:r w:rsidR="00C21497">
        <w:t xml:space="preserve"> adequate access to new computer s</w:t>
      </w:r>
      <w:r w:rsidR="009F6A47">
        <w:t>cience workf</w:t>
      </w:r>
      <w:r w:rsidR="00D750C1">
        <w:t xml:space="preserve">orce is critical and essential. </w:t>
      </w:r>
      <w:r w:rsidR="00AC7408">
        <w:t>The d</w:t>
      </w:r>
      <w:r w:rsidR="009F6A47">
        <w:t xml:space="preserve">epartment has significant economic impact. For every state dollar invested into the department we inject annually into the economy between </w:t>
      </w:r>
      <w:r w:rsidR="00B00B27">
        <w:t xml:space="preserve">4 and 8 times </w:t>
      </w:r>
      <w:r w:rsidR="009F6A47">
        <w:t>that.</w:t>
      </w:r>
    </w:p>
    <w:p w14:paraId="5498783D" w14:textId="77777777" w:rsidR="00E17588" w:rsidRDefault="00E17588" w:rsidP="005012F3"/>
    <w:p w14:paraId="268594EE" w14:textId="257EAF88" w:rsidR="00E17588" w:rsidRDefault="00E17588" w:rsidP="00E17588">
      <w:r>
        <w:lastRenderedPageBreak/>
        <w:t xml:space="preserve">Our graduate program is </w:t>
      </w:r>
      <w:r w:rsidR="0089560A">
        <w:t xml:space="preserve">also </w:t>
      </w:r>
      <w:r>
        <w:t xml:space="preserve">highly ranked, and </w:t>
      </w:r>
      <w:r w:rsidR="00B837F2">
        <w:t>we are one of the top</w:t>
      </w:r>
      <w:r>
        <w:t xml:space="preserve"> departments at N.C. State by research funding</w:t>
      </w:r>
      <w:r>
        <w:rPr>
          <w:rStyle w:val="FootnoteReference"/>
        </w:rPr>
        <w:footnoteReference w:id="2"/>
      </w:r>
      <w:r w:rsidR="0089560A">
        <w:t xml:space="preserve"> and among other computer science departments nationwide</w:t>
      </w:r>
      <w:r w:rsidR="00FD6791" w:rsidRPr="000D4DC2">
        <w:rPr>
          <w:vertAlign w:val="superscript"/>
        </w:rPr>
        <w:t>1</w:t>
      </w:r>
      <w:r w:rsidR="00AC7408">
        <w:rPr>
          <w:vertAlign w:val="superscript"/>
        </w:rPr>
        <w:t>.</w:t>
      </w:r>
      <w:r>
        <w:t xml:space="preserve"> </w:t>
      </w:r>
      <w:r w:rsidR="00B837F2">
        <w:t>Our department</w:t>
      </w:r>
      <w:r>
        <w:t xml:space="preserve"> </w:t>
      </w:r>
      <w:r w:rsidR="00B837F2">
        <w:t>is</w:t>
      </w:r>
      <w:r>
        <w:t xml:space="preserve"> larger in student numbers, and brings in more research funding, than several of the Colleges at N.C. State. In fact, because most of the Masters degree students in </w:t>
      </w:r>
      <w:r w:rsidR="00B837F2">
        <w:t>our department</w:t>
      </w:r>
      <w:r>
        <w:t xml:space="preserve"> are non-North Carolina-residents, </w:t>
      </w:r>
      <w:r w:rsidR="00B837F2">
        <w:t>our program</w:t>
      </w:r>
      <w:r>
        <w:t xml:space="preserve"> </w:t>
      </w:r>
      <w:r w:rsidR="00B837F2">
        <w:t>is</w:t>
      </w:r>
      <w:r>
        <w:t xml:space="preserve"> a considerable source of tuition funds to the State of North Carolina, in the $</w:t>
      </w:r>
      <w:r w:rsidR="00DE3E9B">
        <w:t>7</w:t>
      </w:r>
      <w:r>
        <w:t>M to $</w:t>
      </w:r>
      <w:r w:rsidR="00DE3E9B">
        <w:t>9</w:t>
      </w:r>
      <w:r>
        <w:t xml:space="preserve">M range annually. </w:t>
      </w:r>
    </w:p>
    <w:p w14:paraId="784997CB" w14:textId="3A514C92" w:rsidR="00E17588" w:rsidRDefault="00E17588" w:rsidP="005012F3"/>
    <w:p w14:paraId="472DC31D" w14:textId="228706C1" w:rsidR="006947F8" w:rsidRDefault="006947F8" w:rsidP="005012F3">
      <w:r>
        <w:t xml:space="preserve">In </w:t>
      </w:r>
      <w:r w:rsidR="0089560A">
        <w:t xml:space="preserve">the </w:t>
      </w:r>
      <w:proofErr w:type="gramStart"/>
      <w:r>
        <w:t>Fall</w:t>
      </w:r>
      <w:proofErr w:type="gramEnd"/>
      <w:r>
        <w:t xml:space="preserve"> </w:t>
      </w:r>
      <w:r w:rsidR="000D4DC2">
        <w:t xml:space="preserve">of </w:t>
      </w:r>
      <w:r>
        <w:t xml:space="preserve">2014, premium tuition of $2,400 per semester was authorized for </w:t>
      </w:r>
      <w:r w:rsidR="002B4282">
        <w:t xml:space="preserve">each full-time </w:t>
      </w:r>
      <w:r w:rsidR="00C2187F">
        <w:t xml:space="preserve">Masters </w:t>
      </w:r>
      <w:r w:rsidR="002B4282">
        <w:t>student in our department, and was phased in over the following three academic years in increments of $800 per semester. The department has used the additional funds to enhance the educational experience of our students and improve our operations. Specifically, we have: increased the number of Teaching Assistants</w:t>
      </w:r>
      <w:r w:rsidR="009C4DE9">
        <w:t xml:space="preserve"> by 67.4% from 43 (Fall 2013) to 72 (Fall 2016)</w:t>
      </w:r>
      <w:r w:rsidR="00D82E7E">
        <w:t xml:space="preserve"> as a means to provide consistent student support to instructors and grow our PhD program</w:t>
      </w:r>
      <w:r w:rsidR="0048601C">
        <w:t>;</w:t>
      </w:r>
      <w:r w:rsidR="009C4DE9">
        <w:t xml:space="preserve"> raised the stipend for Teaching Assistants by 12.8% (from $1950 </w:t>
      </w:r>
      <w:r w:rsidR="00C2187F">
        <w:t xml:space="preserve">per month in Fall 2013 </w:t>
      </w:r>
      <w:r w:rsidR="009C4DE9">
        <w:t>to $2200 per month</w:t>
      </w:r>
      <w:r w:rsidR="00C2187F">
        <w:t xml:space="preserve"> in Fall 2016</w:t>
      </w:r>
      <w:r w:rsidR="009F6A47">
        <w:t xml:space="preserve"> – this was absolutely necessary in order to keep department offers to new PhD students competitive nationwide</w:t>
      </w:r>
      <w:r w:rsidR="0048601C">
        <w:t>;</w:t>
      </w:r>
      <w:r w:rsidR="009C4DE9">
        <w:t xml:space="preserve"> </w:t>
      </w:r>
      <w:r w:rsidR="00C2187F">
        <w:t xml:space="preserve">offered more sections of popular courses and more special topics courses in emerging areas </w:t>
      </w:r>
      <w:r w:rsidR="00E21608">
        <w:t>of</w:t>
      </w:r>
      <w:r w:rsidR="0048601C">
        <w:t xml:space="preserve"> Computer Science;</w:t>
      </w:r>
      <w:r w:rsidR="00C2187F">
        <w:t xml:space="preserve"> </w:t>
      </w:r>
      <w:r w:rsidR="009C4DE9">
        <w:t>provided need-based assistance and recruiting incenti</w:t>
      </w:r>
      <w:r w:rsidR="0048601C">
        <w:t>ves to under-represented groups;</w:t>
      </w:r>
      <w:r w:rsidR="009C4DE9">
        <w:t xml:space="preserve"> support</w:t>
      </w:r>
      <w:r w:rsidR="00E21608">
        <w:t>ed</w:t>
      </w:r>
      <w:r w:rsidR="009C4DE9">
        <w:t xml:space="preserve"> new marke</w:t>
      </w:r>
      <w:r w:rsidR="0048601C">
        <w:t>ting and recruiting initiatives;</w:t>
      </w:r>
      <w:r w:rsidR="009C4DE9">
        <w:t xml:space="preserve"> and hired a Director of Graduate Career Services</w:t>
      </w:r>
      <w:r w:rsidR="00CB4559">
        <w:t>.</w:t>
      </w:r>
    </w:p>
    <w:p w14:paraId="26A8C44E" w14:textId="77777777" w:rsidR="00CB4559" w:rsidRDefault="00CB4559" w:rsidP="005012F3"/>
    <w:p w14:paraId="44EC4A53" w14:textId="149E9782" w:rsidR="00CB4559" w:rsidRDefault="00CB4559" w:rsidP="005012F3">
      <w:r>
        <w:t>However, for our graduate students to remain competitive, they need to stay ahead of the curve as measured by their acquired skills and knowledge. This means that they need to continue to be educated by leading-edge scientists, researchers and educators (our faculty) in leading-edge facilities (which we currently have). In order to continue attracting new students, retain existing cohorts, maintain our current advantage in graduate education, and continue producing outstanding graduates, we need to evolve our facilities, teaching faculty, staff, fellowships, and the services that we offer to our graduate students.</w:t>
      </w:r>
    </w:p>
    <w:p w14:paraId="41A319B5" w14:textId="77777777" w:rsidR="006947F8" w:rsidRDefault="006947F8" w:rsidP="005012F3"/>
    <w:p w14:paraId="6FF65FB1" w14:textId="52667FD8" w:rsidR="00EE6203" w:rsidRDefault="00CB4559" w:rsidP="00EE6203">
      <w:r>
        <w:t xml:space="preserve">As the department continues to sustain budget cuts, we are facing serious shortfalls as well as opportunity costs in not being able to accommodate strong demand for Computer Science graduate education. </w:t>
      </w:r>
      <w:r w:rsidR="009F6A47">
        <w:t>W</w:t>
      </w:r>
      <w:r w:rsidR="00EE6203">
        <w:t xml:space="preserve">e are confronted with potential damage to our </w:t>
      </w:r>
      <w:r w:rsidR="009F6A47">
        <w:t xml:space="preserve">capacity and </w:t>
      </w:r>
      <w:r w:rsidR="00EE6203">
        <w:t>prestige, which in turn may result in a lessened desire of the IT industry to locate to the State of North Carolina.</w:t>
      </w:r>
    </w:p>
    <w:p w14:paraId="37547E91" w14:textId="05999504" w:rsidR="00CB4559" w:rsidRDefault="00CB4559" w:rsidP="00CB4559"/>
    <w:p w14:paraId="671E99DB" w14:textId="30D1F82F" w:rsidR="00EE6203" w:rsidRDefault="00EE6203" w:rsidP="00EE6203">
      <w:r>
        <w:t>We request an increase in premium tuition of $800 per semester for each full-time Masters student in the MS CSC and M CSC degrees, phased in over two academic years</w:t>
      </w:r>
      <w:r w:rsidR="00D62644">
        <w:t>,</w:t>
      </w:r>
      <w:r>
        <w:t xml:space="preserve"> 2017-18 and 2018-19. The tuition increase will be prorated for part-time students (including Distance Track degree students). If the request is approved, we plan to submit another request in </w:t>
      </w:r>
      <w:r w:rsidR="00E544F1">
        <w:t xml:space="preserve">the </w:t>
      </w:r>
      <w:proofErr w:type="gramStart"/>
      <w:r>
        <w:t>Fall</w:t>
      </w:r>
      <w:proofErr w:type="gramEnd"/>
      <w:r>
        <w:t xml:space="preserve"> </w:t>
      </w:r>
      <w:r w:rsidR="000D4DC2">
        <w:t xml:space="preserve">of </w:t>
      </w:r>
      <w:r>
        <w:t xml:space="preserve">2018 for a further increase of $400 per </w:t>
      </w:r>
      <w:r>
        <w:lastRenderedPageBreak/>
        <w:t>semester in 2019-20.</w:t>
      </w:r>
      <w:r w:rsidR="00601D0D">
        <w:t xml:space="preserve"> We anticipate that this would allow us to remain nationally competitive in both quality and capacity.</w:t>
      </w:r>
    </w:p>
    <w:p w14:paraId="6B590A5B" w14:textId="77777777" w:rsidR="00CB4559" w:rsidRDefault="00CB4559" w:rsidP="00CB4559"/>
    <w:p w14:paraId="0A2E99B8" w14:textId="77777777" w:rsidR="00B837F2" w:rsidRDefault="00B837F2" w:rsidP="00B837F2"/>
    <w:p w14:paraId="1CAAE0F1" w14:textId="77777777" w:rsidR="00C01A74" w:rsidRDefault="00C01A74" w:rsidP="005012F3">
      <w:pPr>
        <w:rPr>
          <w:b/>
        </w:rPr>
      </w:pPr>
    </w:p>
    <w:p w14:paraId="76BA11DD" w14:textId="31D47984" w:rsidR="00C348C4" w:rsidRPr="00C348C4" w:rsidRDefault="00C348C4" w:rsidP="005012F3">
      <w:pPr>
        <w:rPr>
          <w:b/>
        </w:rPr>
      </w:pPr>
      <w:r w:rsidRPr="00C348C4">
        <w:rPr>
          <w:b/>
        </w:rPr>
        <w:t>A. The anticipated impact of the proposed tuition premium on program quality</w:t>
      </w:r>
      <w:r w:rsidR="00601D0D">
        <w:rPr>
          <w:b/>
        </w:rPr>
        <w:t xml:space="preserve"> and capacity</w:t>
      </w:r>
    </w:p>
    <w:p w14:paraId="5B4C47E4" w14:textId="77777777" w:rsidR="00C348C4" w:rsidRDefault="00C348C4" w:rsidP="005012F3"/>
    <w:p w14:paraId="2863FAD5" w14:textId="6D13CA08" w:rsidR="00430F5B" w:rsidRDefault="00430F5B" w:rsidP="00430F5B">
      <w:r>
        <w:t xml:space="preserve">The proposed tuition increase will provide an extra </w:t>
      </w:r>
      <w:r w:rsidR="00601D0D">
        <w:t xml:space="preserve">advantage in both </w:t>
      </w:r>
      <w:r>
        <w:t xml:space="preserve">quality and competitiveness through enhanced education and state-of-the-art facilities. A very important and immediate effect of the requested tuition increase will be </w:t>
      </w:r>
      <w:r w:rsidR="00846BE0">
        <w:t>to offset and counter-balance ongoing budget cuts which threaten to force a reduction in the size and quality of our graduate program</w:t>
      </w:r>
      <w:r w:rsidR="00601D0D">
        <w:t>. Without additional funding we will not be able to</w:t>
      </w:r>
      <w:r>
        <w:t xml:space="preserve"> meet </w:t>
      </w:r>
      <w:r w:rsidR="00601D0D">
        <w:t xml:space="preserve">the growing </w:t>
      </w:r>
      <w:r>
        <w:t>demand for grad</w:t>
      </w:r>
      <w:r w:rsidR="00846BE0">
        <w:t>uate stud</w:t>
      </w:r>
      <w:r w:rsidR="00601D0D">
        <w:t>ies</w:t>
      </w:r>
      <w:r w:rsidR="00846BE0">
        <w:t xml:space="preserve"> in Computer Science.</w:t>
      </w:r>
      <w:r>
        <w:t xml:space="preserve">  Our prog</w:t>
      </w:r>
      <w:r w:rsidR="00846BE0">
        <w:t>ram</w:t>
      </w:r>
      <w:r>
        <w:t xml:space="preserve"> </w:t>
      </w:r>
      <w:r w:rsidR="000D4DC2">
        <w:t xml:space="preserve">cannot </w:t>
      </w:r>
      <w:r>
        <w:t>remain on a path towards higher quality and rankings without additional sources of funding.</w:t>
      </w:r>
    </w:p>
    <w:p w14:paraId="1E9A7D4C" w14:textId="77777777" w:rsidR="00430F5B" w:rsidRDefault="00430F5B" w:rsidP="00430F5B"/>
    <w:p w14:paraId="27C57DC4" w14:textId="2B3A7484" w:rsidR="00430F5B" w:rsidRPr="006331D9" w:rsidRDefault="00430F5B" w:rsidP="00430F5B">
      <w:r w:rsidRPr="005A7E12">
        <w:t>Our highest priority is to improve</w:t>
      </w:r>
      <w:r w:rsidRPr="006331D9">
        <w:t xml:space="preserve"> the educational experience for our</w:t>
      </w:r>
      <w:r w:rsidR="00601D0D">
        <w:t xml:space="preserve"> and thus make them nationally competitive</w:t>
      </w:r>
      <w:r w:rsidRPr="006331D9">
        <w:t xml:space="preserve">.  The </w:t>
      </w:r>
      <w:r>
        <w:t xml:space="preserve">accessibility, and the </w:t>
      </w:r>
      <w:r w:rsidRPr="006331D9">
        <w:t xml:space="preserve">quality of instruction </w:t>
      </w:r>
      <w:r w:rsidRPr="005A7E12">
        <w:t>and scholarship</w:t>
      </w:r>
      <w:r w:rsidRPr="006331D9">
        <w:t xml:space="preserve"> will be improved by:</w:t>
      </w:r>
    </w:p>
    <w:p w14:paraId="526435F1" w14:textId="4D92F86C" w:rsidR="00272BE7" w:rsidRDefault="00272BE7" w:rsidP="00272BE7">
      <w:pPr>
        <w:pStyle w:val="ListParagraph"/>
        <w:numPr>
          <w:ilvl w:val="0"/>
          <w:numId w:val="7"/>
        </w:numPr>
      </w:pPr>
      <w:proofErr w:type="gramStart"/>
      <w:r>
        <w:t>increasing</w:t>
      </w:r>
      <w:proofErr w:type="gramEnd"/>
      <w:r>
        <w:t xml:space="preserve"> </w:t>
      </w:r>
      <w:r w:rsidRPr="005A7E12">
        <w:t xml:space="preserve">the </w:t>
      </w:r>
      <w:r>
        <w:t>Teaching Assistant</w:t>
      </w:r>
      <w:r w:rsidRPr="005A7E12">
        <w:t xml:space="preserve"> budget</w:t>
      </w:r>
      <w:r w:rsidR="001F574A">
        <w:t xml:space="preserve"> to accommodate the growing program size and improve the TA-to-student ratio;</w:t>
      </w:r>
    </w:p>
    <w:p w14:paraId="1A859E6B" w14:textId="2ECF7C10" w:rsidR="001F574A" w:rsidRDefault="001F574A" w:rsidP="001F574A">
      <w:pPr>
        <w:pStyle w:val="ListParagraph"/>
        <w:numPr>
          <w:ilvl w:val="0"/>
          <w:numId w:val="7"/>
        </w:numPr>
      </w:pPr>
      <w:proofErr w:type="gramStart"/>
      <w:r>
        <w:t>raising</w:t>
      </w:r>
      <w:proofErr w:type="gramEnd"/>
      <w:r>
        <w:t xml:space="preserve"> the </w:t>
      </w:r>
      <w:r w:rsidRPr="006331D9">
        <w:t>sti</w:t>
      </w:r>
      <w:r>
        <w:t>pends for Teaching A</w:t>
      </w:r>
      <w:r w:rsidRPr="006331D9">
        <w:t>ssistants to national averages</w:t>
      </w:r>
      <w:r>
        <w:t xml:space="preserve"> and to offset the increase in student fees</w:t>
      </w:r>
      <w:r w:rsidR="00670D22">
        <w:t>, so as to</w:t>
      </w:r>
      <w:r w:rsidR="00C21497">
        <w:t xml:space="preserve"> make </w:t>
      </w:r>
      <w:r w:rsidR="00670D22">
        <w:t>our offers</w:t>
      </w:r>
      <w:r w:rsidR="00C21497">
        <w:t xml:space="preserve"> competitive</w:t>
      </w:r>
      <w:r>
        <w:t>;</w:t>
      </w:r>
    </w:p>
    <w:p w14:paraId="5E7681AC" w14:textId="33EC9347" w:rsidR="00430F5B" w:rsidRPr="005A7E12" w:rsidRDefault="00430F5B" w:rsidP="00272BE7">
      <w:pPr>
        <w:pStyle w:val="ListParagraph"/>
        <w:numPr>
          <w:ilvl w:val="0"/>
          <w:numId w:val="7"/>
        </w:numPr>
      </w:pPr>
      <w:proofErr w:type="gramStart"/>
      <w:r w:rsidRPr="005A7E12">
        <w:t>providing</w:t>
      </w:r>
      <w:proofErr w:type="gramEnd"/>
      <w:r w:rsidRPr="005A7E12">
        <w:t xml:space="preserve"> need-based financial assistance</w:t>
      </w:r>
      <w:r>
        <w:t xml:space="preserve"> </w:t>
      </w:r>
    </w:p>
    <w:p w14:paraId="0359898A" w14:textId="77777777" w:rsidR="00430F5B" w:rsidRPr="005A7E12" w:rsidRDefault="00430F5B" w:rsidP="00272BE7">
      <w:pPr>
        <w:pStyle w:val="ListParagraph"/>
        <w:numPr>
          <w:ilvl w:val="0"/>
          <w:numId w:val="7"/>
        </w:numPr>
      </w:pPr>
      <w:proofErr w:type="gramStart"/>
      <w:r w:rsidRPr="005A7E12">
        <w:t>introducing</w:t>
      </w:r>
      <w:proofErr w:type="gramEnd"/>
      <w:r w:rsidRPr="005A7E12">
        <w:t xml:space="preserve"> recruiting incentives, especially for under-represented groups</w:t>
      </w:r>
      <w:r>
        <w:t>;</w:t>
      </w:r>
    </w:p>
    <w:p w14:paraId="1CFE35BF" w14:textId="77777777" w:rsidR="00430F5B" w:rsidRPr="005A7E12" w:rsidRDefault="00430F5B" w:rsidP="00272BE7">
      <w:pPr>
        <w:pStyle w:val="ListParagraph"/>
        <w:numPr>
          <w:ilvl w:val="0"/>
          <w:numId w:val="7"/>
        </w:numPr>
      </w:pPr>
      <w:proofErr w:type="gramStart"/>
      <w:r w:rsidRPr="005A7E12">
        <w:t>providing</w:t>
      </w:r>
      <w:proofErr w:type="gramEnd"/>
      <w:r w:rsidRPr="005A7E12">
        <w:t xml:space="preserve"> merit</w:t>
      </w:r>
      <w:r>
        <w:t>-</w:t>
      </w:r>
      <w:r w:rsidRPr="005A7E12">
        <w:t>based graduate fellowships</w:t>
      </w:r>
      <w:r>
        <w:t>,</w:t>
      </w:r>
      <w:r w:rsidRPr="005A7E12">
        <w:t xml:space="preserve"> in order to attract and retain the best graduate students</w:t>
      </w:r>
      <w:r>
        <w:t>;</w:t>
      </w:r>
    </w:p>
    <w:p w14:paraId="09C48899" w14:textId="08AD3619" w:rsidR="00430F5B" w:rsidRDefault="00430F5B" w:rsidP="00272BE7">
      <w:pPr>
        <w:pStyle w:val="ListParagraph"/>
        <w:numPr>
          <w:ilvl w:val="0"/>
          <w:numId w:val="7"/>
        </w:numPr>
      </w:pPr>
      <w:proofErr w:type="gramStart"/>
      <w:r w:rsidRPr="00105FC3">
        <w:t>hiring</w:t>
      </w:r>
      <w:proofErr w:type="gramEnd"/>
      <w:r w:rsidRPr="00105FC3">
        <w:t xml:space="preserve"> additional </w:t>
      </w:r>
      <w:r w:rsidR="00293ED3">
        <w:t xml:space="preserve">teaching </w:t>
      </w:r>
      <w:r w:rsidRPr="00105FC3">
        <w:t>faculty</w:t>
      </w:r>
      <w:r w:rsidR="00293ED3">
        <w:t xml:space="preserve"> </w:t>
      </w:r>
      <w:r w:rsidR="001F574A">
        <w:t>so as to offer more sections of more courses to be taught</w:t>
      </w:r>
      <w:r w:rsidR="000B185D">
        <w:t xml:space="preserve"> (</w:t>
      </w:r>
      <w:r w:rsidR="00E21608">
        <w:t xml:space="preserve">in Fall 2016 </w:t>
      </w:r>
      <w:r w:rsidR="000B185D">
        <w:t>there are several graduate sections in our department with more than 100 students enrolled)</w:t>
      </w:r>
      <w:r>
        <w:t>;</w:t>
      </w:r>
    </w:p>
    <w:p w14:paraId="4CFE8D56" w14:textId="46A6C349" w:rsidR="001F574A" w:rsidRPr="00105FC3" w:rsidRDefault="001F574A" w:rsidP="00272BE7">
      <w:pPr>
        <w:pStyle w:val="ListParagraph"/>
        <w:numPr>
          <w:ilvl w:val="0"/>
          <w:numId w:val="7"/>
        </w:numPr>
      </w:pPr>
      <w:proofErr w:type="gramStart"/>
      <w:r>
        <w:t>hiring</w:t>
      </w:r>
      <w:proofErr w:type="gramEnd"/>
      <w:r>
        <w:t xml:space="preserve"> additional graduate program staff members to improve advising and support services for our very large number of student; and</w:t>
      </w:r>
    </w:p>
    <w:p w14:paraId="53B90E87" w14:textId="75764F28" w:rsidR="00430F5B" w:rsidRPr="006331D9" w:rsidRDefault="00430F5B" w:rsidP="00272BE7">
      <w:pPr>
        <w:pStyle w:val="ListParagraph"/>
        <w:numPr>
          <w:ilvl w:val="0"/>
          <w:numId w:val="7"/>
        </w:numPr>
      </w:pPr>
      <w:proofErr w:type="gramStart"/>
      <w:r>
        <w:t>acquisition</w:t>
      </w:r>
      <w:proofErr w:type="gramEnd"/>
      <w:r>
        <w:t xml:space="preserve"> of </w:t>
      </w:r>
      <w:r w:rsidRPr="005A7E12">
        <w:t>additional</w:t>
      </w:r>
      <w:r w:rsidRPr="006331D9">
        <w:t xml:space="preserve"> equipment, software, and technical support needed for lab-base</w:t>
      </w:r>
      <w:r>
        <w:t>d</w:t>
      </w:r>
      <w:r w:rsidRPr="006331D9">
        <w:t xml:space="preserve"> courses</w:t>
      </w:r>
      <w:r>
        <w:t>.</w:t>
      </w:r>
    </w:p>
    <w:p w14:paraId="7D6F2CAD" w14:textId="77777777" w:rsidR="00430F5B" w:rsidRDefault="00430F5B" w:rsidP="00430F5B"/>
    <w:p w14:paraId="28DE293D" w14:textId="680DA9C7" w:rsidR="000B185D" w:rsidRDefault="000B185D" w:rsidP="000B185D">
      <w:r>
        <w:t xml:space="preserve">Our department has excellent national rankings and close ties with industry, which has resulted in an increased demand for our program.  The number of our applicants and students is growing. The downside is that unless we invest in our programs, this growth will lead to larger classes, larger (non-competitive) student to faculty ratios, and reduced services for students.  Table 1 compares the enrollment and applications to </w:t>
      </w:r>
      <w:r w:rsidR="0048601C">
        <w:t>the two</w:t>
      </w:r>
      <w:r>
        <w:t xml:space="preserve"> Masters program</w:t>
      </w:r>
      <w:r w:rsidR="0048601C">
        <w:t>s targeted by this proposal</w:t>
      </w:r>
      <w:r>
        <w:t xml:space="preserve"> in Fall 2013, before premium tuition was authorized for our program, and Fall 2016</w:t>
      </w:r>
      <w:r w:rsidR="00E21608">
        <w:t>, when premium tuition was fully phased in</w:t>
      </w:r>
      <w:r>
        <w:t xml:space="preserve">. </w:t>
      </w:r>
      <w:r w:rsidR="00FE66A1">
        <w:t xml:space="preserve">Although enrollment increased by </w:t>
      </w:r>
      <w:r w:rsidR="004218F4">
        <w:t>20.2</w:t>
      </w:r>
      <w:r w:rsidR="00FE66A1">
        <w:t>%, demand for our program, as reflected by the number of application</w:t>
      </w:r>
      <w:r w:rsidR="004218F4">
        <w:t>s, jumped by 59.3</w:t>
      </w:r>
      <w:r w:rsidR="00FE66A1">
        <w:t>%</w:t>
      </w:r>
      <w:r w:rsidR="003C0BA4">
        <w:t xml:space="preserve"> over the same three-year period</w:t>
      </w:r>
      <w:r w:rsidR="00FE66A1">
        <w:t xml:space="preserve">. Consequently, </w:t>
      </w:r>
      <w:r w:rsidR="004218F4">
        <w:t xml:space="preserve">both </w:t>
      </w:r>
      <w:r w:rsidR="00FE66A1">
        <w:t xml:space="preserve">selectivity and the </w:t>
      </w:r>
      <w:r w:rsidR="004218F4">
        <w:lastRenderedPageBreak/>
        <w:t>quality of incoming students have</w:t>
      </w:r>
      <w:r w:rsidR="00FE66A1">
        <w:t xml:space="preserve"> increased. These numbers also indicate that our department has the opportunity to </w:t>
      </w:r>
      <w:r w:rsidR="00275AD7">
        <w:t>slowly grow (e.g., by 2-3% per year) to meet the demand without sacrificing student quality, as long as additional resources become available.</w:t>
      </w:r>
    </w:p>
    <w:p w14:paraId="0511A98C" w14:textId="77777777" w:rsidR="00FE66A1" w:rsidRDefault="00FE66A1" w:rsidP="000B185D"/>
    <w:tbl>
      <w:tblPr>
        <w:tblStyle w:val="TableGrid"/>
        <w:tblW w:w="0" w:type="auto"/>
        <w:jc w:val="center"/>
        <w:tblLook w:val="04A0" w:firstRow="1" w:lastRow="0" w:firstColumn="1" w:lastColumn="0" w:noHBand="0" w:noVBand="1"/>
      </w:tblPr>
      <w:tblGrid>
        <w:gridCol w:w="2855"/>
        <w:gridCol w:w="2855"/>
        <w:gridCol w:w="2855"/>
      </w:tblGrid>
      <w:tr w:rsidR="000B185D" w14:paraId="3092DFDA" w14:textId="77777777" w:rsidTr="00FE6252">
        <w:trPr>
          <w:trHeight w:val="297"/>
          <w:jc w:val="center"/>
        </w:trPr>
        <w:tc>
          <w:tcPr>
            <w:tcW w:w="2855" w:type="dxa"/>
          </w:tcPr>
          <w:p w14:paraId="01ED98D3" w14:textId="77777777" w:rsidR="000B185D" w:rsidRDefault="000B185D" w:rsidP="00FE66A1"/>
        </w:tc>
        <w:tc>
          <w:tcPr>
            <w:tcW w:w="2855" w:type="dxa"/>
          </w:tcPr>
          <w:p w14:paraId="130C8808" w14:textId="77777777" w:rsidR="000B185D" w:rsidRPr="000B185D" w:rsidRDefault="000B185D" w:rsidP="00FE66A1">
            <w:pPr>
              <w:jc w:val="center"/>
              <w:rPr>
                <w:b/>
              </w:rPr>
            </w:pPr>
            <w:r w:rsidRPr="000B185D">
              <w:rPr>
                <w:b/>
              </w:rPr>
              <w:t>Masters Enrollment</w:t>
            </w:r>
          </w:p>
        </w:tc>
        <w:tc>
          <w:tcPr>
            <w:tcW w:w="2855" w:type="dxa"/>
          </w:tcPr>
          <w:p w14:paraId="62CB6948" w14:textId="77777777" w:rsidR="000B185D" w:rsidRPr="000B185D" w:rsidRDefault="000B185D" w:rsidP="00FE66A1">
            <w:pPr>
              <w:jc w:val="center"/>
              <w:rPr>
                <w:b/>
              </w:rPr>
            </w:pPr>
            <w:r w:rsidRPr="000B185D">
              <w:rPr>
                <w:b/>
              </w:rPr>
              <w:t>Applications</w:t>
            </w:r>
          </w:p>
        </w:tc>
      </w:tr>
      <w:tr w:rsidR="000B185D" w14:paraId="4409976D" w14:textId="77777777" w:rsidTr="00FE6252">
        <w:trPr>
          <w:trHeight w:val="286"/>
          <w:jc w:val="center"/>
        </w:trPr>
        <w:tc>
          <w:tcPr>
            <w:tcW w:w="2855" w:type="dxa"/>
          </w:tcPr>
          <w:p w14:paraId="0DA268DE" w14:textId="77777777" w:rsidR="000B185D" w:rsidRPr="00522BD6" w:rsidRDefault="000B185D" w:rsidP="00FE66A1">
            <w:pPr>
              <w:rPr>
                <w:b/>
              </w:rPr>
            </w:pPr>
            <w:r w:rsidRPr="00522BD6">
              <w:rPr>
                <w:b/>
              </w:rPr>
              <w:t>Fall 2013</w:t>
            </w:r>
          </w:p>
        </w:tc>
        <w:tc>
          <w:tcPr>
            <w:tcW w:w="2855" w:type="dxa"/>
          </w:tcPr>
          <w:p w14:paraId="2A9DC8BE" w14:textId="48FC5651" w:rsidR="000B185D" w:rsidRDefault="003C0BA4" w:rsidP="00FE66A1">
            <w:pPr>
              <w:jc w:val="center"/>
            </w:pPr>
            <w:r>
              <w:t>391</w:t>
            </w:r>
          </w:p>
        </w:tc>
        <w:tc>
          <w:tcPr>
            <w:tcW w:w="2855" w:type="dxa"/>
          </w:tcPr>
          <w:p w14:paraId="022AEE6E" w14:textId="255C8729" w:rsidR="000B185D" w:rsidRDefault="003C0BA4" w:rsidP="00FE66A1">
            <w:pPr>
              <w:jc w:val="center"/>
            </w:pPr>
            <w:r>
              <w:t>1287</w:t>
            </w:r>
          </w:p>
        </w:tc>
      </w:tr>
      <w:tr w:rsidR="000B185D" w14:paraId="5AB81991" w14:textId="77777777" w:rsidTr="00FE6252">
        <w:trPr>
          <w:trHeight w:val="286"/>
          <w:jc w:val="center"/>
        </w:trPr>
        <w:tc>
          <w:tcPr>
            <w:tcW w:w="2855" w:type="dxa"/>
          </w:tcPr>
          <w:p w14:paraId="3F03038C" w14:textId="77777777" w:rsidR="000B185D" w:rsidRPr="00522BD6" w:rsidRDefault="000B185D" w:rsidP="00FE66A1">
            <w:pPr>
              <w:rPr>
                <w:b/>
              </w:rPr>
            </w:pPr>
            <w:r w:rsidRPr="00522BD6">
              <w:rPr>
                <w:b/>
              </w:rPr>
              <w:t>Fall 2016</w:t>
            </w:r>
          </w:p>
        </w:tc>
        <w:tc>
          <w:tcPr>
            <w:tcW w:w="2855" w:type="dxa"/>
          </w:tcPr>
          <w:p w14:paraId="71ABDF42" w14:textId="46BAB4AB" w:rsidR="000B185D" w:rsidRDefault="003C0BA4" w:rsidP="00FE66A1">
            <w:pPr>
              <w:jc w:val="center"/>
            </w:pPr>
            <w:r>
              <w:t>470</w:t>
            </w:r>
            <w:r w:rsidR="004218F4">
              <w:t xml:space="preserve"> (estimate)</w:t>
            </w:r>
          </w:p>
        </w:tc>
        <w:tc>
          <w:tcPr>
            <w:tcW w:w="2855" w:type="dxa"/>
          </w:tcPr>
          <w:p w14:paraId="69A0D92A" w14:textId="1EDB1C94" w:rsidR="000B185D" w:rsidRDefault="003C0BA4" w:rsidP="00FE66A1">
            <w:pPr>
              <w:jc w:val="center"/>
            </w:pPr>
            <w:r>
              <w:t>2050</w:t>
            </w:r>
          </w:p>
        </w:tc>
      </w:tr>
    </w:tbl>
    <w:p w14:paraId="347075D2" w14:textId="66C107BC" w:rsidR="000B185D" w:rsidRDefault="000B185D" w:rsidP="000B185D">
      <w:r>
        <w:t>Table 1. Applications and Enrollment</w:t>
      </w:r>
    </w:p>
    <w:p w14:paraId="446D1C29" w14:textId="77777777" w:rsidR="000B185D" w:rsidRDefault="000B185D" w:rsidP="000B185D"/>
    <w:p w14:paraId="11A21656" w14:textId="28D141E7" w:rsidR="00FE66A1" w:rsidRDefault="00275AD7" w:rsidP="000B185D">
      <w:r>
        <w:t>Our graduates capitalize on enviable employment prospects and currently enjoy post-graduation starting salaries in the $85</w:t>
      </w:r>
      <w:r w:rsidR="004218F4">
        <w:t>K</w:t>
      </w:r>
      <w:r>
        <w:t xml:space="preserve"> to $130K </w:t>
      </w:r>
      <w:proofErr w:type="gramStart"/>
      <w:r>
        <w:t>range</w:t>
      </w:r>
      <w:proofErr w:type="gramEnd"/>
      <w:r>
        <w:t>, and close to 100% placement at graduation. Current employ</w:t>
      </w:r>
      <w:r w:rsidR="004218F4">
        <w:t>ment opportunities in our field</w:t>
      </w:r>
      <w:r>
        <w:t xml:space="preserve"> in the State of North Carolina and the nation are growing rapidly, as illustrated by the succession of companies establishing large operations in North Carolina, companies that are highly dependent on our contributions to the workforce.</w:t>
      </w:r>
      <w:r w:rsidR="00FE6252">
        <w:t xml:space="preserve"> As Table 2 illustrates, </w:t>
      </w:r>
      <w:r w:rsidR="004218F4">
        <w:t xml:space="preserve">over the last three years, </w:t>
      </w:r>
      <w:r w:rsidR="00FE6252">
        <w:t>our students and graduates have seen substantial</w:t>
      </w:r>
      <w:r w:rsidR="004218F4">
        <w:t xml:space="preserve"> increases in internship pay (12.9%) and starting salary (12</w:t>
      </w:r>
      <w:r w:rsidR="00FE6252">
        <w:t>%), respectively, as well as in internship and employment opportu</w:t>
      </w:r>
      <w:r w:rsidR="004218F4">
        <w:t>nities</w:t>
      </w:r>
      <w:r w:rsidR="005F649A">
        <w:t>.</w:t>
      </w:r>
    </w:p>
    <w:p w14:paraId="1E4AF138" w14:textId="77777777" w:rsidR="00275AD7" w:rsidRDefault="00275AD7" w:rsidP="000B185D"/>
    <w:p w14:paraId="1CAB7EED" w14:textId="46F5259F" w:rsidR="00275AD7" w:rsidRDefault="00275AD7" w:rsidP="00275AD7">
      <w:r>
        <w:t>Table 2. Internships and Starting Salaries</w:t>
      </w:r>
    </w:p>
    <w:p w14:paraId="3C14B7C7" w14:textId="77777777" w:rsidR="00275AD7" w:rsidRDefault="00275AD7" w:rsidP="000B185D"/>
    <w:p w14:paraId="41C54DCA" w14:textId="77777777" w:rsidR="000B185D" w:rsidRDefault="000B185D" w:rsidP="00430F5B"/>
    <w:p w14:paraId="6983E869" w14:textId="77777777" w:rsidR="00275AD7" w:rsidRDefault="00275AD7" w:rsidP="00430F5B"/>
    <w:tbl>
      <w:tblPr>
        <w:tblStyle w:val="TableGrid"/>
        <w:tblpPr w:leftFromText="180" w:rightFromText="180" w:vertAnchor="text" w:horzAnchor="page" w:tblpX="1909" w:tblpY="-888"/>
        <w:tblW w:w="0" w:type="auto"/>
        <w:tblLook w:val="04A0" w:firstRow="1" w:lastRow="0" w:firstColumn="1" w:lastColumn="0" w:noHBand="0" w:noVBand="1"/>
      </w:tblPr>
      <w:tblGrid>
        <w:gridCol w:w="2314"/>
        <w:gridCol w:w="2204"/>
        <w:gridCol w:w="2282"/>
        <w:gridCol w:w="1836"/>
      </w:tblGrid>
      <w:tr w:rsidR="00FE6252" w14:paraId="358D5BB6" w14:textId="77777777" w:rsidTr="00FE6252">
        <w:trPr>
          <w:trHeight w:val="850"/>
        </w:trPr>
        <w:tc>
          <w:tcPr>
            <w:tcW w:w="2314" w:type="dxa"/>
          </w:tcPr>
          <w:p w14:paraId="3B5A3879" w14:textId="77777777" w:rsidR="00FE6252" w:rsidRDefault="00FE6252" w:rsidP="00FE6252"/>
        </w:tc>
        <w:tc>
          <w:tcPr>
            <w:tcW w:w="2204" w:type="dxa"/>
          </w:tcPr>
          <w:p w14:paraId="0F3546E9" w14:textId="77777777" w:rsidR="00FE6252" w:rsidRPr="00522BD6" w:rsidRDefault="00FE6252" w:rsidP="00FE6252">
            <w:pPr>
              <w:jc w:val="center"/>
              <w:rPr>
                <w:b/>
              </w:rPr>
            </w:pPr>
            <w:r w:rsidRPr="00522BD6">
              <w:rPr>
                <w:b/>
              </w:rPr>
              <w:t>Average starting salary</w:t>
            </w:r>
          </w:p>
        </w:tc>
        <w:tc>
          <w:tcPr>
            <w:tcW w:w="2282" w:type="dxa"/>
          </w:tcPr>
          <w:p w14:paraId="09EE2107" w14:textId="77777777" w:rsidR="00FE6252" w:rsidRPr="003135EB" w:rsidRDefault="00FE6252" w:rsidP="00FE6252">
            <w:pPr>
              <w:jc w:val="center"/>
              <w:rPr>
                <w:b/>
              </w:rPr>
            </w:pPr>
            <w:r>
              <w:rPr>
                <w:b/>
              </w:rPr>
              <w:t>Average i</w:t>
            </w:r>
            <w:r w:rsidRPr="003135EB">
              <w:rPr>
                <w:b/>
              </w:rPr>
              <w:t>nternship pay</w:t>
            </w:r>
          </w:p>
        </w:tc>
        <w:tc>
          <w:tcPr>
            <w:tcW w:w="1836" w:type="dxa"/>
          </w:tcPr>
          <w:p w14:paraId="0F75CEDB" w14:textId="77777777" w:rsidR="00FE6252" w:rsidRPr="003135EB" w:rsidRDefault="00FE6252" w:rsidP="00FE6252">
            <w:pPr>
              <w:jc w:val="center"/>
              <w:rPr>
                <w:b/>
              </w:rPr>
            </w:pPr>
            <w:r>
              <w:rPr>
                <w:b/>
              </w:rPr>
              <w:t>Number of summer internships</w:t>
            </w:r>
          </w:p>
        </w:tc>
      </w:tr>
      <w:tr w:rsidR="00FE6252" w14:paraId="74CA327E" w14:textId="77777777" w:rsidTr="00FE6252">
        <w:trPr>
          <w:trHeight w:val="280"/>
        </w:trPr>
        <w:tc>
          <w:tcPr>
            <w:tcW w:w="2314" w:type="dxa"/>
          </w:tcPr>
          <w:p w14:paraId="0B0418C8" w14:textId="77777777" w:rsidR="00FE6252" w:rsidRPr="00522BD6" w:rsidRDefault="00FE6252" w:rsidP="00FE6252">
            <w:pPr>
              <w:rPr>
                <w:b/>
              </w:rPr>
            </w:pPr>
            <w:r w:rsidRPr="00522BD6">
              <w:rPr>
                <w:b/>
              </w:rPr>
              <w:t>2012/2013</w:t>
            </w:r>
          </w:p>
        </w:tc>
        <w:tc>
          <w:tcPr>
            <w:tcW w:w="2204" w:type="dxa"/>
          </w:tcPr>
          <w:p w14:paraId="373764F5" w14:textId="77777777" w:rsidR="00FE6252" w:rsidRDefault="00FE6252" w:rsidP="00FE6252">
            <w:pPr>
              <w:jc w:val="center"/>
            </w:pPr>
            <w:r>
              <w:t>$91,400</w:t>
            </w:r>
          </w:p>
        </w:tc>
        <w:tc>
          <w:tcPr>
            <w:tcW w:w="2282" w:type="dxa"/>
          </w:tcPr>
          <w:p w14:paraId="6328DC99" w14:textId="77777777" w:rsidR="00FE6252" w:rsidRDefault="00FE6252" w:rsidP="00FE6252">
            <w:pPr>
              <w:jc w:val="center"/>
            </w:pPr>
            <w:r>
              <w:t>$31/hour</w:t>
            </w:r>
          </w:p>
        </w:tc>
        <w:tc>
          <w:tcPr>
            <w:tcW w:w="1836" w:type="dxa"/>
          </w:tcPr>
          <w:p w14:paraId="31A3D25E" w14:textId="77777777" w:rsidR="00FE6252" w:rsidRDefault="00FE6252" w:rsidP="00FE6252">
            <w:pPr>
              <w:jc w:val="center"/>
            </w:pPr>
            <w:r>
              <w:t xml:space="preserve">163 </w:t>
            </w:r>
          </w:p>
        </w:tc>
      </w:tr>
      <w:tr w:rsidR="00FE6252" w14:paraId="64CBADCE" w14:textId="77777777" w:rsidTr="00FE6252">
        <w:trPr>
          <w:trHeight w:val="280"/>
        </w:trPr>
        <w:tc>
          <w:tcPr>
            <w:tcW w:w="2314" w:type="dxa"/>
          </w:tcPr>
          <w:p w14:paraId="0BFFFD85" w14:textId="77777777" w:rsidR="00FE6252" w:rsidRPr="00522BD6" w:rsidRDefault="00FE6252" w:rsidP="00FE6252">
            <w:pPr>
              <w:rPr>
                <w:b/>
              </w:rPr>
            </w:pPr>
            <w:r w:rsidRPr="00522BD6">
              <w:rPr>
                <w:b/>
              </w:rPr>
              <w:t>2015/2016</w:t>
            </w:r>
          </w:p>
        </w:tc>
        <w:tc>
          <w:tcPr>
            <w:tcW w:w="2204" w:type="dxa"/>
          </w:tcPr>
          <w:p w14:paraId="76AD8099" w14:textId="7E0B5106" w:rsidR="00FE6252" w:rsidRDefault="00711922" w:rsidP="00FE6252">
            <w:pPr>
              <w:jc w:val="center"/>
            </w:pPr>
            <w:r>
              <w:t>$102,3</w:t>
            </w:r>
            <w:r w:rsidR="00FE6252">
              <w:t>00</w:t>
            </w:r>
          </w:p>
        </w:tc>
        <w:tc>
          <w:tcPr>
            <w:tcW w:w="2282" w:type="dxa"/>
          </w:tcPr>
          <w:p w14:paraId="792B7101" w14:textId="77777777" w:rsidR="00FE6252" w:rsidRDefault="00FE6252" w:rsidP="00FE6252">
            <w:pPr>
              <w:jc w:val="center"/>
            </w:pPr>
            <w:r>
              <w:t>$35/hour</w:t>
            </w:r>
          </w:p>
        </w:tc>
        <w:tc>
          <w:tcPr>
            <w:tcW w:w="1836" w:type="dxa"/>
          </w:tcPr>
          <w:p w14:paraId="129B2449" w14:textId="77777777" w:rsidR="00FE6252" w:rsidRDefault="00FE6252" w:rsidP="00FE6252">
            <w:pPr>
              <w:jc w:val="center"/>
            </w:pPr>
            <w:r>
              <w:t>195</w:t>
            </w:r>
          </w:p>
        </w:tc>
      </w:tr>
    </w:tbl>
    <w:p w14:paraId="67DD3A98" w14:textId="6A05FA1D" w:rsidR="00C348C4" w:rsidRPr="00C348C4" w:rsidRDefault="00C348C4" w:rsidP="005012F3">
      <w:pPr>
        <w:rPr>
          <w:b/>
        </w:rPr>
      </w:pPr>
      <w:r w:rsidRPr="00C348C4">
        <w:rPr>
          <w:b/>
        </w:rPr>
        <w:t>B. The projected impact of increased tuition on access for North Carolina residents</w:t>
      </w:r>
    </w:p>
    <w:p w14:paraId="2D1DC471" w14:textId="77777777" w:rsidR="00C348C4" w:rsidRDefault="00C348C4" w:rsidP="005012F3">
      <w:pPr>
        <w:rPr>
          <w:b/>
        </w:rPr>
      </w:pPr>
    </w:p>
    <w:p w14:paraId="27FA50C5" w14:textId="4DBCA73E" w:rsidR="00711922" w:rsidRPr="00711922" w:rsidRDefault="00711922" w:rsidP="00711922">
      <w:pPr>
        <w:rPr>
          <w:rFonts w:eastAsia="Times New Roman" w:cs="Times New Roman"/>
          <w:bCs/>
        </w:rPr>
      </w:pPr>
      <w:r>
        <w:t xml:space="preserve">The percentage of students in </w:t>
      </w:r>
      <w:r w:rsidR="004218F4">
        <w:t>our</w:t>
      </w:r>
      <w:r>
        <w:t xml:space="preserve"> Masters degree </w:t>
      </w:r>
      <w:r w:rsidR="004218F4">
        <w:t>program</w:t>
      </w:r>
      <w:r>
        <w:t xml:space="preserve"> who are residents of North Carolina is 12.9%.  </w:t>
      </w:r>
      <w:r w:rsidR="004218F4">
        <w:t>Once fully phased in starting with the 2018-19 academic year, t</w:t>
      </w:r>
      <w:r>
        <w:t xml:space="preserve">he proposed tuition premium will increase the cost </w:t>
      </w:r>
      <w:r w:rsidRPr="003C6DEA">
        <w:t xml:space="preserve">of a </w:t>
      </w:r>
      <w:r>
        <w:t>M</w:t>
      </w:r>
      <w:r w:rsidRPr="003C6DEA">
        <w:t>asters degree</w:t>
      </w:r>
      <w:r>
        <w:t xml:space="preserve"> education for full-time students by </w:t>
      </w:r>
      <w:r w:rsidRPr="003C6DEA">
        <w:t>$</w:t>
      </w:r>
      <w:r>
        <w:t>2,400</w:t>
      </w:r>
      <w:r w:rsidRPr="003C6DEA">
        <w:t>.</w:t>
      </w:r>
      <w:r>
        <w:t xml:space="preserve">  In May 2016,</w:t>
      </w:r>
      <w:r w:rsidRPr="00597A86">
        <w:rPr>
          <w:rFonts w:eastAsia="Times New Roman" w:cs="Times New Roman"/>
          <w:bCs/>
        </w:rPr>
        <w:t xml:space="preserve"> the average starting salary of our Ma</w:t>
      </w:r>
      <w:r>
        <w:rPr>
          <w:rFonts w:eastAsia="Times New Roman" w:cs="Times New Roman"/>
          <w:bCs/>
        </w:rPr>
        <w:t>sters degree graduates was $102,300</w:t>
      </w:r>
      <w:proofErr w:type="gramStart"/>
      <w:r>
        <w:rPr>
          <w:rFonts w:eastAsia="Times New Roman" w:cs="Times New Roman"/>
          <w:bCs/>
        </w:rPr>
        <w:t>.,</w:t>
      </w:r>
      <w:proofErr w:type="gramEnd"/>
      <w:r>
        <w:rPr>
          <w:rFonts w:eastAsia="Times New Roman" w:cs="Times New Roman"/>
          <w:bCs/>
        </w:rPr>
        <w:t xml:space="preserve"> compared to </w:t>
      </w:r>
      <w:r w:rsidRPr="00597A86">
        <w:rPr>
          <w:rFonts w:eastAsia="Times New Roman" w:cs="Times New Roman"/>
          <w:bCs/>
        </w:rPr>
        <w:t xml:space="preserve">an </w:t>
      </w:r>
      <w:r>
        <w:rPr>
          <w:rFonts w:eastAsia="Times New Roman" w:cs="Times New Roman"/>
          <w:bCs/>
        </w:rPr>
        <w:t>average starting salary of our B</w:t>
      </w:r>
      <w:r w:rsidRPr="00597A86">
        <w:rPr>
          <w:rFonts w:eastAsia="Times New Roman" w:cs="Times New Roman"/>
          <w:bCs/>
        </w:rPr>
        <w:t>achelors degree graduates of $</w:t>
      </w:r>
      <w:r>
        <w:rPr>
          <w:rFonts w:eastAsia="Times New Roman" w:cs="Times New Roman"/>
          <w:bCs/>
        </w:rPr>
        <w:t>72,400</w:t>
      </w:r>
      <w:r w:rsidRPr="00597A86">
        <w:rPr>
          <w:rFonts w:eastAsia="Times New Roman" w:cs="Times New Roman"/>
          <w:bCs/>
        </w:rPr>
        <w:t xml:space="preserve">. </w:t>
      </w:r>
      <w:r w:rsidR="004218F4">
        <w:rPr>
          <w:rFonts w:eastAsia="Times New Roman" w:cs="Times New Roman"/>
          <w:bCs/>
        </w:rPr>
        <w:t xml:space="preserve">Assuming that this </w:t>
      </w:r>
      <w:r>
        <w:t>difference in starting salaries for students with Bachelors degrees and those with Masters degrees in our field</w:t>
      </w:r>
      <w:r w:rsidR="004218F4">
        <w:t xml:space="preserve"> does not change substantially</w:t>
      </w:r>
      <w:r>
        <w:t>, the expected time to break even (recover the cost of tuition</w:t>
      </w:r>
      <w:r w:rsidR="00C02A45">
        <w:t xml:space="preserve"> </w:t>
      </w:r>
      <w:r w:rsidR="00C02A45" w:rsidRPr="00C02A45">
        <w:rPr>
          <w:i/>
        </w:rPr>
        <w:t>and</w:t>
      </w:r>
      <w:r w:rsidR="00C02A45">
        <w:t xml:space="preserve"> fees, listed in Table 3 below</w:t>
      </w:r>
      <w:r>
        <w:t>) is only 0.</w:t>
      </w:r>
      <w:r w:rsidR="00C02A45">
        <w:t>82</w:t>
      </w:r>
      <w:r>
        <w:t xml:space="preserve"> years without the increase in tuition premium, and 0.</w:t>
      </w:r>
      <w:r w:rsidR="00C02A45">
        <w:t>90</w:t>
      </w:r>
      <w:r>
        <w:t xml:space="preserve"> years with the increase in tuition premium for </w:t>
      </w:r>
      <w:r w:rsidR="00C02A45">
        <w:t xml:space="preserve">residents of North Carolina; for non-residents, these figures are </w:t>
      </w:r>
      <w:r w:rsidR="009B6CCB">
        <w:t>1.</w:t>
      </w:r>
      <w:r w:rsidR="00C02A45">
        <w:t xml:space="preserve">55 </w:t>
      </w:r>
      <w:r w:rsidR="009B6CCB">
        <w:t>and 1.</w:t>
      </w:r>
      <w:r w:rsidR="00C02A45">
        <w:t>63</w:t>
      </w:r>
      <w:r>
        <w:t xml:space="preserve"> years without and with the </w:t>
      </w:r>
      <w:r w:rsidR="009B6CCB">
        <w:t xml:space="preserve">increase in </w:t>
      </w:r>
      <w:r w:rsidR="00C02A45">
        <w:t>tuition premium, respectively</w:t>
      </w:r>
      <w:r>
        <w:t xml:space="preserve">. </w:t>
      </w:r>
      <w:r w:rsidR="004218F4">
        <w:t xml:space="preserve">In </w:t>
      </w:r>
      <w:r w:rsidR="004218F4">
        <w:lastRenderedPageBreak/>
        <w:t xml:space="preserve">other words, the proposed increase in premium tuition will </w:t>
      </w:r>
      <w:r w:rsidR="00410019">
        <w:t xml:space="preserve">extend the expected </w:t>
      </w:r>
      <w:proofErr w:type="gramStart"/>
      <w:r w:rsidR="00410019">
        <w:t>break even</w:t>
      </w:r>
      <w:proofErr w:type="gramEnd"/>
      <w:r w:rsidR="00410019">
        <w:t xml:space="preserve"> time by .08 years, or about one month. </w:t>
      </w:r>
      <w:r>
        <w:t>This represents a fast “return on investment” for students.  This analysis does not include the additional positive impacts, such as higher placement rates and quality of career paths.</w:t>
      </w:r>
    </w:p>
    <w:p w14:paraId="48F94CDD" w14:textId="77777777" w:rsidR="00711922" w:rsidRDefault="00711922" w:rsidP="00711922"/>
    <w:p w14:paraId="5AB81DEF" w14:textId="4291F1F0" w:rsidR="00711922" w:rsidRDefault="00021436" w:rsidP="00711922">
      <w:r>
        <w:t>We will continue to set aside p</w:t>
      </w:r>
      <w:r w:rsidR="00711922">
        <w:t xml:space="preserve">art of the proposed </w:t>
      </w:r>
      <w:r>
        <w:t xml:space="preserve">premium </w:t>
      </w:r>
      <w:r w:rsidR="00711922">
        <w:t xml:space="preserve">tuition increase for financial aid for underrepresented groups, and for U.S. students with </w:t>
      </w:r>
      <w:r>
        <w:t xml:space="preserve">documented financial hardships. Our </w:t>
      </w:r>
      <w:r w:rsidR="00711922" w:rsidRPr="006331D9">
        <w:t>depa</w:t>
      </w:r>
      <w:r>
        <w:t>rtment</w:t>
      </w:r>
      <w:r w:rsidR="00711922">
        <w:t xml:space="preserve"> </w:t>
      </w:r>
      <w:r>
        <w:t xml:space="preserve">currently enrolls 470 </w:t>
      </w:r>
      <w:r w:rsidR="00711922">
        <w:t xml:space="preserve">Masters degree </w:t>
      </w:r>
      <w:r>
        <w:t>students</w:t>
      </w:r>
      <w:r w:rsidR="00C02A45">
        <w:t xml:space="preserve"> in the two programs</w:t>
      </w:r>
      <w:r w:rsidR="00711922">
        <w:t xml:space="preserve">. We do not expect the </w:t>
      </w:r>
      <w:r>
        <w:t xml:space="preserve">premium </w:t>
      </w:r>
      <w:r w:rsidR="00711922">
        <w:t>tuition increase to significantly impact that volume.</w:t>
      </w:r>
    </w:p>
    <w:p w14:paraId="3670FF2E" w14:textId="77777777" w:rsidR="00711922" w:rsidRDefault="00711922" w:rsidP="005012F3">
      <w:pPr>
        <w:rPr>
          <w:b/>
        </w:rPr>
      </w:pPr>
    </w:p>
    <w:p w14:paraId="64613B27" w14:textId="77777777" w:rsidR="00711922" w:rsidRPr="00C348C4" w:rsidRDefault="00711922" w:rsidP="005012F3">
      <w:pPr>
        <w:rPr>
          <w:b/>
        </w:rPr>
      </w:pPr>
    </w:p>
    <w:p w14:paraId="02592D4A" w14:textId="3BC1B48E" w:rsidR="00C348C4" w:rsidRPr="00C348C4" w:rsidRDefault="00C348C4" w:rsidP="005012F3">
      <w:pPr>
        <w:rPr>
          <w:b/>
        </w:rPr>
      </w:pPr>
      <w:r w:rsidRPr="00C348C4">
        <w:rPr>
          <w:b/>
        </w:rPr>
        <w:t>C. The availability of student financial aid for students with economic need and of tuition remission</w:t>
      </w:r>
    </w:p>
    <w:p w14:paraId="322B21F0" w14:textId="77777777" w:rsidR="00C348C4" w:rsidRDefault="00C348C4" w:rsidP="005012F3">
      <w:pPr>
        <w:rPr>
          <w:b/>
        </w:rPr>
      </w:pPr>
    </w:p>
    <w:p w14:paraId="6FE264A3" w14:textId="04F0B8BF" w:rsidR="006624F1" w:rsidRDefault="006624F1" w:rsidP="005012F3">
      <w:r>
        <w:t xml:space="preserve">Students in all degree programs are eligible to apply for need-based subsidized and unsubsidized federal loans (Perkins and Stafford), and the federal PLUS program. As already mentioned, part of the proposed tuition increase will be set aside for the recruitment of, and financial aid for, underrepresented groups, and for U.S. students with </w:t>
      </w:r>
      <w:r w:rsidR="00410019">
        <w:t xml:space="preserve">documented financial hardships; </w:t>
      </w:r>
      <w:r>
        <w:t xml:space="preserve">therefore, affordability </w:t>
      </w:r>
      <w:r w:rsidRPr="001D24D5">
        <w:t>will</w:t>
      </w:r>
      <w:r>
        <w:t xml:space="preserve"> actually </w:t>
      </w:r>
      <w:r w:rsidR="00410019">
        <w:t xml:space="preserve">improve for those populations. </w:t>
      </w:r>
    </w:p>
    <w:p w14:paraId="1C4770C4" w14:textId="77777777" w:rsidR="006624F1" w:rsidRDefault="006624F1" w:rsidP="005012F3"/>
    <w:p w14:paraId="7BBDC034" w14:textId="77777777" w:rsidR="006624F1" w:rsidRPr="00C348C4" w:rsidRDefault="006624F1" w:rsidP="005012F3">
      <w:pPr>
        <w:rPr>
          <w:b/>
        </w:rPr>
      </w:pPr>
    </w:p>
    <w:p w14:paraId="11387731" w14:textId="6AC7313A" w:rsidR="00C348C4" w:rsidRPr="00C348C4" w:rsidRDefault="00C348C4" w:rsidP="005012F3">
      <w:pPr>
        <w:rPr>
          <w:b/>
        </w:rPr>
      </w:pPr>
      <w:r w:rsidRPr="00C348C4">
        <w:rPr>
          <w:b/>
        </w:rPr>
        <w:t>D. The extent to which current and prospective students can afford increases in tuition</w:t>
      </w:r>
    </w:p>
    <w:p w14:paraId="3E4150D8" w14:textId="77777777" w:rsidR="00C348C4" w:rsidRDefault="00C348C4" w:rsidP="005012F3">
      <w:pPr>
        <w:rPr>
          <w:b/>
        </w:rPr>
      </w:pPr>
    </w:p>
    <w:p w14:paraId="44A74FBF" w14:textId="57C03061" w:rsidR="004B5EDF" w:rsidRDefault="004B5EDF" w:rsidP="00D625AD">
      <w:r>
        <w:t xml:space="preserve">Approximately </w:t>
      </w:r>
      <w:r w:rsidR="003A1B22">
        <w:t>8</w:t>
      </w:r>
      <w:r w:rsidRPr="00597A86">
        <w:t>0%</w:t>
      </w:r>
      <w:r>
        <w:t xml:space="preserve"> of </w:t>
      </w:r>
      <w:r w:rsidR="003A1B22">
        <w:t xml:space="preserve">our </w:t>
      </w:r>
      <w:r>
        <w:t xml:space="preserve">on-campus Masters degree students engaged in paid internships during the summer at the end of their first year of study.  These </w:t>
      </w:r>
      <w:r w:rsidRPr="00597A86">
        <w:t>internships paid an average of $3</w:t>
      </w:r>
      <w:r w:rsidR="003A1B22">
        <w:t>5/hour in the summer of 2016</w:t>
      </w:r>
      <w:r w:rsidRPr="00597A86">
        <w:t>. The placement rate of our Masters graduates at time of graduation is better than 90%.</w:t>
      </w:r>
    </w:p>
    <w:p w14:paraId="2E69D6F5" w14:textId="77777777" w:rsidR="004B5EDF" w:rsidRDefault="004B5EDF" w:rsidP="00D625AD">
      <w:pPr>
        <w:rPr>
          <w:b/>
        </w:rPr>
      </w:pPr>
    </w:p>
    <w:p w14:paraId="39C0F3FC" w14:textId="46B7C8CD" w:rsidR="004B5EDF" w:rsidRDefault="004B5EDF" w:rsidP="00D625AD">
      <w:r>
        <w:t>The U.S. Bureau of Labor Statistics</w:t>
      </w:r>
      <w:r w:rsidR="000C1E21">
        <w:t xml:space="preserve"> projections for the period 2014-2024</w:t>
      </w:r>
      <w:r>
        <w:t xml:space="preserve"> shows that Computer Science and IT-related occupations will experience a growth of </w:t>
      </w:r>
      <w:r w:rsidR="000C1E21">
        <w:t>531</w:t>
      </w:r>
      <w:r>
        <w:t>,000 jobs (</w:t>
      </w:r>
      <w:r w:rsidR="000C1E21">
        <w:t>13</w:t>
      </w:r>
      <w:r>
        <w:t xml:space="preserve">%).  </w:t>
      </w:r>
      <w:r w:rsidR="000C1E21">
        <w:t>These</w:t>
      </w:r>
      <w:r>
        <w:t xml:space="preserve"> occupations had median annual wag</w:t>
      </w:r>
      <w:r w:rsidR="000C1E21">
        <w:t>es of $79,4</w:t>
      </w:r>
      <w:r>
        <w:t xml:space="preserve">20 </w:t>
      </w:r>
      <w:r w:rsidR="000C1E21">
        <w:t>in 2014</w:t>
      </w:r>
      <w:r>
        <w:t>.</w:t>
      </w:r>
    </w:p>
    <w:p w14:paraId="3A5CD853" w14:textId="77777777" w:rsidR="004B5EDF" w:rsidRDefault="004B5EDF" w:rsidP="00D625AD"/>
    <w:p w14:paraId="16E3B076" w14:textId="42CB602E" w:rsidR="004B5EDF" w:rsidRDefault="004B5EDF" w:rsidP="00D625AD">
      <w:r>
        <w:t xml:space="preserve">Major employers who have established or are establishing substantial operations in North Carolina do so because of the </w:t>
      </w:r>
      <w:proofErr w:type="gramStart"/>
      <w:r>
        <w:t>readily-available</w:t>
      </w:r>
      <w:proofErr w:type="gramEnd"/>
      <w:r>
        <w:t xml:space="preserve"> supply of a highly-skilled workforce in science, engineering, and computing.  Recent examples include Fidelity Investments, Credit Suisse, </w:t>
      </w:r>
      <w:r w:rsidRPr="005C3549">
        <w:t>Deut</w:t>
      </w:r>
      <w:r>
        <w:t>s</w:t>
      </w:r>
      <w:r w:rsidRPr="005C3549">
        <w:t>che Bank, MetLife, Lex</w:t>
      </w:r>
      <w:r>
        <w:t>i</w:t>
      </w:r>
      <w:r w:rsidRPr="005C3549">
        <w:t>sNex</w:t>
      </w:r>
      <w:r>
        <w:t>i</w:t>
      </w:r>
      <w:r w:rsidRPr="005C3549">
        <w:t xml:space="preserve">s, </w:t>
      </w:r>
      <w:r>
        <w:t xml:space="preserve">and others.  The N.C. State Engineering Career Fair each year attracts </w:t>
      </w:r>
      <w:r w:rsidRPr="005C3549">
        <w:t>several hundred</w:t>
      </w:r>
      <w:r>
        <w:t xml:space="preserve"> employers. The Department of Computer Science </w:t>
      </w:r>
      <w:proofErr w:type="spellStart"/>
      <w:r>
        <w:t>ePartners</w:t>
      </w:r>
      <w:proofErr w:type="spellEnd"/>
      <w:r>
        <w:t xml:space="preserve"> program has </w:t>
      </w:r>
      <w:r w:rsidR="000C1E21">
        <w:t>54</w:t>
      </w:r>
      <w:r>
        <w:t xml:space="preserve"> corporate members who pay between $5,000 and $25,000 (and more) as a way to improve their recruiting of our students. N.C. State</w:t>
      </w:r>
      <w:r w:rsidRPr="005C3549">
        <w:t xml:space="preserve"> grad</w:t>
      </w:r>
      <w:r>
        <w:t xml:space="preserve">uates, </w:t>
      </w:r>
      <w:r w:rsidR="000C1E21">
        <w:t>including many</w:t>
      </w:r>
      <w:r>
        <w:t xml:space="preserve"> from</w:t>
      </w:r>
      <w:r w:rsidRPr="005C3549">
        <w:t xml:space="preserve"> </w:t>
      </w:r>
      <w:r w:rsidR="000C1E21">
        <w:t>our department</w:t>
      </w:r>
      <w:r w:rsidRPr="005C3549">
        <w:t xml:space="preserve">, constitute the largest cohort of recruits </w:t>
      </w:r>
      <w:proofErr w:type="gramStart"/>
      <w:r w:rsidRPr="005C3549">
        <w:t>world-wide</w:t>
      </w:r>
      <w:proofErr w:type="gramEnd"/>
      <w:r w:rsidRPr="005C3549">
        <w:t xml:space="preserve"> for IBM, with other companies </w:t>
      </w:r>
      <w:r>
        <w:t>such as</w:t>
      </w:r>
      <w:r w:rsidRPr="005C3549">
        <w:t xml:space="preserve"> </w:t>
      </w:r>
      <w:r>
        <w:t>SAS</w:t>
      </w:r>
      <w:r w:rsidRPr="005C3549">
        <w:t xml:space="preserve"> and Cisco also hiring large percentages of their workforce from us</w:t>
      </w:r>
      <w:r w:rsidRPr="00105FC3">
        <w:t>.</w:t>
      </w:r>
    </w:p>
    <w:p w14:paraId="31EF05DE" w14:textId="77777777" w:rsidR="004B5EDF" w:rsidRDefault="004B5EDF" w:rsidP="00D625AD">
      <w:pPr>
        <w:rPr>
          <w:b/>
        </w:rPr>
      </w:pPr>
    </w:p>
    <w:p w14:paraId="15076D42" w14:textId="147856C6" w:rsidR="004B5EDF" w:rsidRDefault="000C1E21" w:rsidP="00D625AD">
      <w:r>
        <w:t>Approximately 80%</w:t>
      </w:r>
      <w:r w:rsidR="004B5EDF" w:rsidRPr="0010611D">
        <w:t xml:space="preserve"> </w:t>
      </w:r>
      <w:r w:rsidR="004B5EDF">
        <w:t>o</w:t>
      </w:r>
      <w:r w:rsidR="004B5EDF" w:rsidRPr="0010611D">
        <w:t xml:space="preserve">f </w:t>
      </w:r>
      <w:r w:rsidR="004B5EDF">
        <w:t xml:space="preserve">the </w:t>
      </w:r>
      <w:r w:rsidR="004B5EDF" w:rsidRPr="0010611D">
        <w:t>students enrolled in the Engineering Online degree programs</w:t>
      </w:r>
      <w:r w:rsidR="004B5EDF">
        <w:t xml:space="preserve"> </w:t>
      </w:r>
      <w:r w:rsidR="004B5EDF" w:rsidRPr="0010611D">
        <w:t xml:space="preserve">have their tuition reimbursed by their employers.  This represents </w:t>
      </w:r>
      <w:r w:rsidR="004B5EDF">
        <w:t>roughly 10%</w:t>
      </w:r>
      <w:r w:rsidR="004B5EDF" w:rsidRPr="0010611D">
        <w:t xml:space="preserve"> of the total </w:t>
      </w:r>
      <w:r w:rsidR="004B5EDF">
        <w:t>M</w:t>
      </w:r>
      <w:r w:rsidR="004B5EDF" w:rsidRPr="0010611D">
        <w:t>asters degree populations.</w:t>
      </w:r>
    </w:p>
    <w:p w14:paraId="2D684AB9" w14:textId="77777777" w:rsidR="004B5EDF" w:rsidRDefault="004B5EDF" w:rsidP="005012F3">
      <w:pPr>
        <w:rPr>
          <w:b/>
        </w:rPr>
      </w:pPr>
    </w:p>
    <w:p w14:paraId="58F72C7B" w14:textId="77777777" w:rsidR="004B5EDF" w:rsidRPr="00C348C4" w:rsidRDefault="004B5EDF" w:rsidP="005012F3">
      <w:pPr>
        <w:rPr>
          <w:b/>
        </w:rPr>
      </w:pPr>
    </w:p>
    <w:p w14:paraId="76B87833" w14:textId="71E19E81" w:rsidR="00C348C4" w:rsidRPr="00C348C4" w:rsidRDefault="00C348C4" w:rsidP="005012F3">
      <w:pPr>
        <w:rPr>
          <w:b/>
        </w:rPr>
      </w:pPr>
      <w:r w:rsidRPr="00C348C4">
        <w:rPr>
          <w:b/>
        </w:rPr>
        <w:t>E. The relationship between projected tuition revenue to institutional and/or program costs</w:t>
      </w:r>
    </w:p>
    <w:p w14:paraId="1DE83FBB" w14:textId="77777777" w:rsidR="00C348C4" w:rsidRDefault="00C348C4" w:rsidP="005012F3">
      <w:pPr>
        <w:rPr>
          <w:b/>
        </w:rPr>
      </w:pPr>
    </w:p>
    <w:p w14:paraId="64E27D82" w14:textId="57DA1346" w:rsidR="006624F1" w:rsidRPr="00D625AD" w:rsidRDefault="006624F1" w:rsidP="005012F3">
      <w:r>
        <w:t>Given current-level enr</w:t>
      </w:r>
      <w:r w:rsidR="000C1E21">
        <w:t>ollments in the Masters program</w:t>
      </w:r>
      <w:r>
        <w:t>, the expected revenue that would be generated by this proposal is $</w:t>
      </w:r>
      <w:r w:rsidR="00243B98">
        <w:t>600K</w:t>
      </w:r>
      <w:r w:rsidR="000C1E21">
        <w:t xml:space="preserve"> annually</w:t>
      </w:r>
      <w:r>
        <w:t xml:space="preserve">. Since </w:t>
      </w:r>
      <w:r w:rsidR="00D05D39">
        <w:t>FY</w:t>
      </w:r>
      <w:r w:rsidR="00422B6C">
        <w:t>2014</w:t>
      </w:r>
      <w:r>
        <w:t xml:space="preserve">, </w:t>
      </w:r>
      <w:r w:rsidR="00243B98">
        <w:t xml:space="preserve">our department </w:t>
      </w:r>
      <w:r>
        <w:t xml:space="preserve">has lost </w:t>
      </w:r>
      <w:r w:rsidR="00D05D39">
        <w:t xml:space="preserve">about </w:t>
      </w:r>
      <w:r>
        <w:t>$</w:t>
      </w:r>
      <w:r w:rsidR="00D05D39">
        <w:t>300k</w:t>
      </w:r>
      <w:r>
        <w:t xml:space="preserve"> in budget reductions</w:t>
      </w:r>
      <w:r w:rsidR="00C92470">
        <w:t xml:space="preserve"> w</w:t>
      </w:r>
      <w:r w:rsidR="001942A5">
        <w:t>hile the costs of operation have</w:t>
      </w:r>
      <w:r w:rsidR="00C92470">
        <w:t xml:space="preserve"> grown </w:t>
      </w:r>
      <w:r w:rsidR="001942A5">
        <w:t>by about 12%</w:t>
      </w:r>
      <w:r>
        <w:t xml:space="preserve">, so the proposed tuition increase represents a relatively modest net increase. </w:t>
      </w:r>
      <w:r w:rsidR="00243B98">
        <w:t>We also note that the</w:t>
      </w:r>
      <w:r>
        <w:t xml:space="preserve"> </w:t>
      </w:r>
      <w:r w:rsidR="00243B98">
        <w:t>department</w:t>
      </w:r>
      <w:r>
        <w:t xml:space="preserve"> </w:t>
      </w:r>
      <w:r w:rsidR="00243B98" w:rsidRPr="00C60CBA">
        <w:t>is chronically underfunded and relies on funds from faculty sabbaticals</w:t>
      </w:r>
      <w:r w:rsidR="00DA7702" w:rsidRPr="00C60CBA">
        <w:t>, leaves, release time, F&amp;A</w:t>
      </w:r>
      <w:r w:rsidR="00FA0FA5">
        <w:t>,</w:t>
      </w:r>
      <w:r w:rsidR="00DA7702" w:rsidRPr="00C60CBA">
        <w:t xml:space="preserve"> and now </w:t>
      </w:r>
      <w:r w:rsidR="00C60CBA" w:rsidRPr="00C60CBA">
        <w:t>p</w:t>
      </w:r>
      <w:r w:rsidR="00DA7702" w:rsidRPr="00C60CBA">
        <w:t>remium</w:t>
      </w:r>
      <w:r w:rsidR="00C60CBA" w:rsidRPr="00C60CBA">
        <w:t xml:space="preserve"> tuition</w:t>
      </w:r>
      <w:r w:rsidR="00C60CBA">
        <w:t>,</w:t>
      </w:r>
      <w:r w:rsidR="00DA7702" w:rsidRPr="00C60CBA">
        <w:t xml:space="preserve"> </w:t>
      </w:r>
      <w:r w:rsidR="00243B98" w:rsidRPr="00C60CBA">
        <w:t xml:space="preserve">to cover a wide range of </w:t>
      </w:r>
      <w:r w:rsidRPr="00C60CBA">
        <w:t xml:space="preserve">operating </w:t>
      </w:r>
      <w:r w:rsidR="00243B98" w:rsidRPr="00C60CBA">
        <w:t>expenses, some staff position</w:t>
      </w:r>
      <w:r w:rsidRPr="00C60CBA">
        <w:t>s, etc.</w:t>
      </w:r>
    </w:p>
    <w:p w14:paraId="7E1BC8D1" w14:textId="77777777" w:rsidR="006624F1" w:rsidRPr="00C348C4" w:rsidRDefault="006624F1" w:rsidP="005012F3">
      <w:pPr>
        <w:rPr>
          <w:b/>
        </w:rPr>
      </w:pPr>
    </w:p>
    <w:p w14:paraId="210ADE7C" w14:textId="77777777" w:rsidR="007B53C7" w:rsidRDefault="007B53C7" w:rsidP="005012F3">
      <w:pPr>
        <w:rPr>
          <w:b/>
        </w:rPr>
      </w:pPr>
    </w:p>
    <w:p w14:paraId="0F3A8168" w14:textId="2B79A623" w:rsidR="00C348C4" w:rsidRPr="00C348C4" w:rsidRDefault="00C348C4" w:rsidP="005012F3">
      <w:pPr>
        <w:rPr>
          <w:b/>
        </w:rPr>
      </w:pPr>
      <w:r w:rsidRPr="00C348C4">
        <w:rPr>
          <w:b/>
        </w:rPr>
        <w:t>F. Tuition and fees, net of remissions and waivers, charged by peer institutions or pr</w:t>
      </w:r>
      <w:r w:rsidR="00243B98">
        <w:rPr>
          <w:b/>
        </w:rPr>
        <w:t>o</w:t>
      </w:r>
      <w:r w:rsidRPr="00C348C4">
        <w:rPr>
          <w:b/>
        </w:rPr>
        <w:t>grams as compared to tuition and fees, net of remissions, for the program</w:t>
      </w:r>
    </w:p>
    <w:p w14:paraId="0F50A1C5" w14:textId="77777777" w:rsidR="00C348C4" w:rsidRDefault="00C348C4" w:rsidP="005012F3">
      <w:pPr>
        <w:rPr>
          <w:b/>
        </w:rPr>
      </w:pPr>
    </w:p>
    <w:p w14:paraId="01332E55" w14:textId="68981BDE" w:rsidR="003863A5" w:rsidRDefault="003863A5" w:rsidP="003863A5">
      <w:r w:rsidRPr="0037726A">
        <w:t xml:space="preserve">One semester of tuition </w:t>
      </w:r>
      <w:r w:rsidR="00C27A95">
        <w:t xml:space="preserve">and fees </w:t>
      </w:r>
      <w:r w:rsidRPr="0037726A">
        <w:t xml:space="preserve">for </w:t>
      </w:r>
      <w:r w:rsidR="00C27A95">
        <w:t xml:space="preserve">the </w:t>
      </w:r>
      <w:r w:rsidRPr="0037726A">
        <w:t xml:space="preserve">CSC </w:t>
      </w:r>
      <w:r>
        <w:t>M</w:t>
      </w:r>
      <w:r w:rsidRPr="0037726A">
        <w:t>asters degrees, with and without the proposed tuition prem</w:t>
      </w:r>
      <w:r w:rsidR="00C27A95">
        <w:t xml:space="preserve">ium, is shown </w:t>
      </w:r>
      <w:r w:rsidR="00037BC6">
        <w:t>in Table 3</w:t>
      </w:r>
      <w:r w:rsidR="00C27A95">
        <w:t xml:space="preserve"> for the 2016-2017</w:t>
      </w:r>
      <w:r w:rsidRPr="0037726A">
        <w:t xml:space="preserve"> academic year.</w:t>
      </w:r>
    </w:p>
    <w:p w14:paraId="238535A4" w14:textId="77777777" w:rsidR="003863A5" w:rsidRDefault="003863A5" w:rsidP="003863A5"/>
    <w:tbl>
      <w:tblPr>
        <w:tblStyle w:val="TableGrid"/>
        <w:tblW w:w="0" w:type="auto"/>
        <w:tblInd w:w="108" w:type="dxa"/>
        <w:tblLook w:val="04A0" w:firstRow="1" w:lastRow="0" w:firstColumn="1" w:lastColumn="0" w:noHBand="0" w:noVBand="1"/>
      </w:tblPr>
      <w:tblGrid>
        <w:gridCol w:w="2790"/>
        <w:gridCol w:w="2790"/>
        <w:gridCol w:w="2520"/>
      </w:tblGrid>
      <w:tr w:rsidR="00E47726" w14:paraId="1ABCC96C" w14:textId="77777777" w:rsidTr="00C60CBA">
        <w:tc>
          <w:tcPr>
            <w:tcW w:w="2790" w:type="dxa"/>
          </w:tcPr>
          <w:p w14:paraId="4867A859" w14:textId="2BD30DC4" w:rsidR="003863A5" w:rsidRPr="0037726A" w:rsidRDefault="003863A5" w:rsidP="003863A5">
            <w:pPr>
              <w:jc w:val="center"/>
              <w:rPr>
                <w:b/>
              </w:rPr>
            </w:pPr>
            <w:r w:rsidRPr="0037726A">
              <w:rPr>
                <w:b/>
              </w:rPr>
              <w:t>Tuition</w:t>
            </w:r>
            <w:r w:rsidR="0036322D">
              <w:rPr>
                <w:b/>
              </w:rPr>
              <w:t xml:space="preserve"> and fees</w:t>
            </w:r>
          </w:p>
        </w:tc>
        <w:tc>
          <w:tcPr>
            <w:tcW w:w="2790" w:type="dxa"/>
          </w:tcPr>
          <w:p w14:paraId="4BB24685" w14:textId="77777777" w:rsidR="003863A5" w:rsidRPr="0037726A" w:rsidRDefault="003863A5" w:rsidP="003863A5">
            <w:pPr>
              <w:jc w:val="center"/>
              <w:rPr>
                <w:b/>
              </w:rPr>
            </w:pPr>
            <w:r w:rsidRPr="0037726A">
              <w:rPr>
                <w:b/>
              </w:rPr>
              <w:t>Resident</w:t>
            </w:r>
          </w:p>
        </w:tc>
        <w:tc>
          <w:tcPr>
            <w:tcW w:w="2520" w:type="dxa"/>
          </w:tcPr>
          <w:p w14:paraId="114838EE" w14:textId="77777777" w:rsidR="003863A5" w:rsidRPr="0037726A" w:rsidRDefault="003863A5" w:rsidP="003863A5">
            <w:pPr>
              <w:jc w:val="center"/>
              <w:rPr>
                <w:b/>
              </w:rPr>
            </w:pPr>
            <w:r w:rsidRPr="0037726A">
              <w:rPr>
                <w:b/>
              </w:rPr>
              <w:t>Nonresident</w:t>
            </w:r>
          </w:p>
        </w:tc>
      </w:tr>
      <w:tr w:rsidR="00E47726" w14:paraId="52F32393" w14:textId="77777777" w:rsidTr="00C60CBA">
        <w:tc>
          <w:tcPr>
            <w:tcW w:w="2790" w:type="dxa"/>
          </w:tcPr>
          <w:p w14:paraId="5787E83C" w14:textId="0F1BA1E5" w:rsidR="003863A5" w:rsidRDefault="003863A5" w:rsidP="003863A5">
            <w:r>
              <w:t>Present</w:t>
            </w:r>
            <w:r w:rsidR="00037BC6">
              <w:t xml:space="preserve"> (2016-17)</w:t>
            </w:r>
          </w:p>
        </w:tc>
        <w:tc>
          <w:tcPr>
            <w:tcW w:w="2790" w:type="dxa"/>
          </w:tcPr>
          <w:p w14:paraId="13E521E3" w14:textId="2AE20F23" w:rsidR="003863A5" w:rsidRDefault="003863A5" w:rsidP="00C60CBA">
            <w:pPr>
              <w:jc w:val="center"/>
            </w:pPr>
            <w:r>
              <w:t>$</w:t>
            </w:r>
            <w:r w:rsidR="00C27A95">
              <w:t>8,186</w:t>
            </w:r>
          </w:p>
        </w:tc>
        <w:tc>
          <w:tcPr>
            <w:tcW w:w="2520" w:type="dxa"/>
          </w:tcPr>
          <w:p w14:paraId="5851BE01" w14:textId="24F7ED60" w:rsidR="003863A5" w:rsidRDefault="003863A5" w:rsidP="00C60CBA">
            <w:pPr>
              <w:jc w:val="center"/>
            </w:pPr>
            <w:r>
              <w:t>$</w:t>
            </w:r>
            <w:r w:rsidR="00C27A95">
              <w:t>15,447</w:t>
            </w:r>
          </w:p>
        </w:tc>
      </w:tr>
      <w:tr w:rsidR="00E47726" w:rsidRPr="00521C0F" w14:paraId="070513CD" w14:textId="77777777" w:rsidTr="00C60CBA">
        <w:tc>
          <w:tcPr>
            <w:tcW w:w="2790" w:type="dxa"/>
          </w:tcPr>
          <w:p w14:paraId="54A897DE" w14:textId="321E747B" w:rsidR="003863A5" w:rsidRPr="00521C0F" w:rsidRDefault="003863A5" w:rsidP="003863A5">
            <w:r w:rsidRPr="00521C0F">
              <w:t>Proposed</w:t>
            </w:r>
            <w:r w:rsidR="00037BC6">
              <w:t xml:space="preserve"> (2018-19)</w:t>
            </w:r>
          </w:p>
        </w:tc>
        <w:tc>
          <w:tcPr>
            <w:tcW w:w="2790" w:type="dxa"/>
          </w:tcPr>
          <w:p w14:paraId="62D6F4D7" w14:textId="5CF61062" w:rsidR="003863A5" w:rsidRPr="00521C0F" w:rsidRDefault="003863A5" w:rsidP="00C60CBA">
            <w:pPr>
              <w:jc w:val="center"/>
            </w:pPr>
            <w:r w:rsidRPr="00521C0F">
              <w:t>$</w:t>
            </w:r>
            <w:r w:rsidR="00C27A95">
              <w:t>8,986</w:t>
            </w:r>
          </w:p>
        </w:tc>
        <w:tc>
          <w:tcPr>
            <w:tcW w:w="2520" w:type="dxa"/>
          </w:tcPr>
          <w:p w14:paraId="6B7BCA19" w14:textId="5F8F0212" w:rsidR="003863A5" w:rsidRPr="00521C0F" w:rsidRDefault="003863A5" w:rsidP="00C60CBA">
            <w:pPr>
              <w:jc w:val="center"/>
            </w:pPr>
            <w:r w:rsidRPr="00521C0F">
              <w:t>$1</w:t>
            </w:r>
            <w:r w:rsidR="00C27A95">
              <w:t>6,247</w:t>
            </w:r>
          </w:p>
        </w:tc>
      </w:tr>
    </w:tbl>
    <w:p w14:paraId="68D5568B" w14:textId="07D29A3C" w:rsidR="003863A5" w:rsidRDefault="00037BC6" w:rsidP="003863A5">
      <w:r>
        <w:t>Table 3: Present and proposed tuition</w:t>
      </w:r>
      <w:r w:rsidR="00082DE5">
        <w:t xml:space="preserve"> and fees</w:t>
      </w:r>
    </w:p>
    <w:p w14:paraId="5567658E" w14:textId="77777777" w:rsidR="00037BC6" w:rsidRDefault="00037BC6" w:rsidP="003863A5"/>
    <w:p w14:paraId="7D9967E1" w14:textId="706448F7" w:rsidR="003863A5" w:rsidRDefault="003863A5" w:rsidP="003863A5">
      <w:r>
        <w:t xml:space="preserve">Tuition </w:t>
      </w:r>
      <w:r w:rsidR="00C27A95">
        <w:t xml:space="preserve">and fees </w:t>
      </w:r>
      <w:r>
        <w:t>charged by peer institution</w:t>
      </w:r>
      <w:r w:rsidR="00C27A95">
        <w:t xml:space="preserve">s for Computer Science degrees </w:t>
      </w:r>
      <w:r>
        <w:t xml:space="preserve">are shown in the appendix.  </w:t>
      </w:r>
      <w:r w:rsidR="00DA7702" w:rsidRPr="00857E45">
        <w:t xml:space="preserve">The </w:t>
      </w:r>
      <w:r w:rsidRPr="00857E45">
        <w:t xml:space="preserve">proposed tuition increase will </w:t>
      </w:r>
      <w:r w:rsidR="00857E45">
        <w:t>have little impact on</w:t>
      </w:r>
      <w:r w:rsidRPr="00857E45">
        <w:t xml:space="preserve"> </w:t>
      </w:r>
      <w:r w:rsidR="009F3F9B">
        <w:t>our department’s position relative to other schools</w:t>
      </w:r>
      <w:r w:rsidRPr="00857E45">
        <w:t>.</w:t>
      </w:r>
      <w:r>
        <w:t xml:space="preserve">  </w:t>
      </w:r>
    </w:p>
    <w:p w14:paraId="7310EF6A" w14:textId="77777777" w:rsidR="003863A5" w:rsidRDefault="003863A5" w:rsidP="003863A5">
      <w:pPr>
        <w:rPr>
          <w:b/>
        </w:rPr>
      </w:pPr>
    </w:p>
    <w:p w14:paraId="52362351" w14:textId="318EC1F6" w:rsidR="00422B6C" w:rsidRDefault="00422B6C" w:rsidP="00C27A95">
      <w:r w:rsidRPr="002B110B">
        <w:t xml:space="preserve">Tuition </w:t>
      </w:r>
      <w:r w:rsidR="00C27A95">
        <w:t>and fees</w:t>
      </w:r>
      <w:r w:rsidRPr="002B110B">
        <w:t xml:space="preserve"> for other premium tuitio</w:t>
      </w:r>
      <w:r w:rsidR="00C27A95">
        <w:t>n programs at N.C. State in 2016-2017</w:t>
      </w:r>
      <w:r w:rsidRPr="002B110B">
        <w:t xml:space="preserve"> </w:t>
      </w:r>
      <w:r w:rsidR="00DA7702">
        <w:t xml:space="preserve">are shown in Table </w:t>
      </w:r>
      <w:r w:rsidR="00037BC6">
        <w:t>4</w:t>
      </w:r>
      <w:r w:rsidRPr="002B110B">
        <w:t>:</w:t>
      </w:r>
      <w:r>
        <w:br/>
      </w:r>
    </w:p>
    <w:p w14:paraId="45083A5E" w14:textId="1DA33A29" w:rsidR="00DA7702" w:rsidRPr="002B110B" w:rsidRDefault="00DA7702" w:rsidP="00C27A95"/>
    <w:tbl>
      <w:tblPr>
        <w:tblStyle w:val="TableGrid"/>
        <w:tblW w:w="0" w:type="auto"/>
        <w:tblInd w:w="108" w:type="dxa"/>
        <w:tblLook w:val="04A0" w:firstRow="1" w:lastRow="0" w:firstColumn="1" w:lastColumn="0" w:noHBand="0" w:noVBand="1"/>
      </w:tblPr>
      <w:tblGrid>
        <w:gridCol w:w="4590"/>
        <w:gridCol w:w="1845"/>
        <w:gridCol w:w="1845"/>
      </w:tblGrid>
      <w:tr w:rsidR="00422B6C" w:rsidRPr="002B110B" w14:paraId="0239C5C3" w14:textId="77777777" w:rsidTr="00C60CBA">
        <w:trPr>
          <w:trHeight w:val="563"/>
        </w:trPr>
        <w:tc>
          <w:tcPr>
            <w:tcW w:w="4590" w:type="dxa"/>
            <w:shd w:val="clear" w:color="auto" w:fill="D9D9D9"/>
          </w:tcPr>
          <w:p w14:paraId="01F5C534" w14:textId="77777777" w:rsidR="00422B6C" w:rsidRPr="002B110B" w:rsidRDefault="00422B6C" w:rsidP="00C27A95">
            <w:pPr>
              <w:jc w:val="center"/>
              <w:rPr>
                <w:b/>
              </w:rPr>
            </w:pPr>
            <w:r w:rsidRPr="002B110B">
              <w:rPr>
                <w:b/>
              </w:rPr>
              <w:t>Program</w:t>
            </w:r>
          </w:p>
        </w:tc>
        <w:tc>
          <w:tcPr>
            <w:tcW w:w="1845" w:type="dxa"/>
            <w:shd w:val="clear" w:color="auto" w:fill="D9D9D9"/>
          </w:tcPr>
          <w:p w14:paraId="4C9B0926" w14:textId="77777777" w:rsidR="00422B6C" w:rsidRPr="002B110B" w:rsidRDefault="00422B6C" w:rsidP="00C27A95">
            <w:pPr>
              <w:jc w:val="center"/>
              <w:rPr>
                <w:b/>
              </w:rPr>
            </w:pPr>
            <w:r w:rsidRPr="002B110B">
              <w:rPr>
                <w:b/>
              </w:rPr>
              <w:t>Resident</w:t>
            </w:r>
          </w:p>
        </w:tc>
        <w:tc>
          <w:tcPr>
            <w:tcW w:w="1845" w:type="dxa"/>
            <w:shd w:val="clear" w:color="auto" w:fill="D9D9D9"/>
          </w:tcPr>
          <w:p w14:paraId="72BAC58E" w14:textId="77777777" w:rsidR="00422B6C" w:rsidRPr="002B110B" w:rsidRDefault="00422B6C" w:rsidP="00C27A95">
            <w:pPr>
              <w:jc w:val="center"/>
              <w:rPr>
                <w:b/>
              </w:rPr>
            </w:pPr>
            <w:r w:rsidRPr="002B110B">
              <w:rPr>
                <w:b/>
              </w:rPr>
              <w:t>Nonresident</w:t>
            </w:r>
          </w:p>
        </w:tc>
      </w:tr>
      <w:tr w:rsidR="00422B6C" w:rsidRPr="002B110B" w14:paraId="19338A43" w14:textId="77777777" w:rsidTr="00C60CBA">
        <w:trPr>
          <w:trHeight w:val="563"/>
        </w:trPr>
        <w:tc>
          <w:tcPr>
            <w:tcW w:w="4590" w:type="dxa"/>
          </w:tcPr>
          <w:p w14:paraId="7D646FFA" w14:textId="77777777" w:rsidR="00422B6C" w:rsidRPr="002B110B" w:rsidRDefault="00422B6C" w:rsidP="00C27A95">
            <w:r w:rsidRPr="002B110B">
              <w:t>Master of Business Administration</w:t>
            </w:r>
          </w:p>
        </w:tc>
        <w:tc>
          <w:tcPr>
            <w:tcW w:w="1845" w:type="dxa"/>
          </w:tcPr>
          <w:p w14:paraId="1128B520" w14:textId="50A2B605" w:rsidR="00422B6C" w:rsidRPr="002B110B" w:rsidRDefault="00422B6C" w:rsidP="00C60CBA">
            <w:pPr>
              <w:jc w:val="center"/>
            </w:pPr>
            <w:r w:rsidRPr="002B110B">
              <w:t>$</w:t>
            </w:r>
            <w:r w:rsidR="00C27A95">
              <w:t>11,848</w:t>
            </w:r>
          </w:p>
        </w:tc>
        <w:tc>
          <w:tcPr>
            <w:tcW w:w="1845" w:type="dxa"/>
          </w:tcPr>
          <w:p w14:paraId="61B93502" w14:textId="2D53208F" w:rsidR="00422B6C" w:rsidRPr="002B110B" w:rsidRDefault="00422B6C" w:rsidP="00C60CBA">
            <w:pPr>
              <w:jc w:val="center"/>
            </w:pPr>
            <w:r w:rsidRPr="002B110B">
              <w:t>$</w:t>
            </w:r>
            <w:r w:rsidR="00C27A95">
              <w:t>19,352</w:t>
            </w:r>
          </w:p>
        </w:tc>
      </w:tr>
      <w:tr w:rsidR="00422B6C" w:rsidRPr="002B110B" w14:paraId="317CB6EC" w14:textId="77777777" w:rsidTr="00C60CBA">
        <w:trPr>
          <w:trHeight w:val="563"/>
        </w:trPr>
        <w:tc>
          <w:tcPr>
            <w:tcW w:w="4590" w:type="dxa"/>
          </w:tcPr>
          <w:p w14:paraId="694BDB78" w14:textId="77777777" w:rsidR="00422B6C" w:rsidRPr="002B110B" w:rsidRDefault="00422B6C" w:rsidP="00C27A95">
            <w:r w:rsidRPr="002B110B">
              <w:t>Masters in Global Innovation Management</w:t>
            </w:r>
          </w:p>
        </w:tc>
        <w:tc>
          <w:tcPr>
            <w:tcW w:w="1845" w:type="dxa"/>
          </w:tcPr>
          <w:p w14:paraId="1E2F6E1A" w14:textId="713F404B" w:rsidR="00422B6C" w:rsidRPr="002B110B" w:rsidRDefault="00422B6C" w:rsidP="00C60CBA">
            <w:pPr>
              <w:jc w:val="center"/>
            </w:pPr>
            <w:r w:rsidRPr="002B110B">
              <w:t>$</w:t>
            </w:r>
            <w:r w:rsidR="00C27A95">
              <w:t>11,848</w:t>
            </w:r>
          </w:p>
        </w:tc>
        <w:tc>
          <w:tcPr>
            <w:tcW w:w="1845" w:type="dxa"/>
          </w:tcPr>
          <w:p w14:paraId="1C9F9751" w14:textId="716DA1AE" w:rsidR="00422B6C" w:rsidRPr="002B110B" w:rsidRDefault="00422B6C" w:rsidP="00C60CBA">
            <w:pPr>
              <w:jc w:val="center"/>
            </w:pPr>
            <w:r w:rsidRPr="002B110B">
              <w:t>$</w:t>
            </w:r>
            <w:r w:rsidR="00DD35D2">
              <w:t>19,352</w:t>
            </w:r>
          </w:p>
        </w:tc>
      </w:tr>
      <w:tr w:rsidR="00C27A95" w:rsidRPr="002B110B" w14:paraId="219483BA" w14:textId="77777777" w:rsidTr="00C60CBA">
        <w:trPr>
          <w:trHeight w:val="563"/>
        </w:trPr>
        <w:tc>
          <w:tcPr>
            <w:tcW w:w="4590" w:type="dxa"/>
          </w:tcPr>
          <w:p w14:paraId="5F33DBAF" w14:textId="598E2ED7" w:rsidR="00C27A95" w:rsidRPr="002B110B" w:rsidRDefault="00C27A95" w:rsidP="00C27A95">
            <w:r>
              <w:lastRenderedPageBreak/>
              <w:t>Masters in Supply Chain Engineering &amp; Management</w:t>
            </w:r>
          </w:p>
        </w:tc>
        <w:tc>
          <w:tcPr>
            <w:tcW w:w="1845" w:type="dxa"/>
          </w:tcPr>
          <w:p w14:paraId="637FBCB6" w14:textId="31C57AD0" w:rsidR="00C27A95" w:rsidRPr="002B110B" w:rsidRDefault="00C27A95" w:rsidP="00C60CBA">
            <w:pPr>
              <w:jc w:val="center"/>
            </w:pPr>
            <w:r w:rsidRPr="002B110B">
              <w:t>$</w:t>
            </w:r>
            <w:r>
              <w:t>11,848</w:t>
            </w:r>
          </w:p>
        </w:tc>
        <w:tc>
          <w:tcPr>
            <w:tcW w:w="1845" w:type="dxa"/>
          </w:tcPr>
          <w:p w14:paraId="367780CA" w14:textId="62870A76" w:rsidR="00C27A95" w:rsidRPr="002B110B" w:rsidRDefault="00C27A95" w:rsidP="00C60CBA">
            <w:pPr>
              <w:jc w:val="center"/>
            </w:pPr>
            <w:r w:rsidRPr="002B110B">
              <w:t>$</w:t>
            </w:r>
            <w:r w:rsidR="00DD35D2">
              <w:t>19,352</w:t>
            </w:r>
          </w:p>
        </w:tc>
      </w:tr>
      <w:tr w:rsidR="00422B6C" w:rsidRPr="002B110B" w14:paraId="472DDB03" w14:textId="77777777" w:rsidTr="00C60CBA">
        <w:trPr>
          <w:trHeight w:val="563"/>
        </w:trPr>
        <w:tc>
          <w:tcPr>
            <w:tcW w:w="4590" w:type="dxa"/>
          </w:tcPr>
          <w:p w14:paraId="188253ED" w14:textId="03B83DD5" w:rsidR="00422B6C" w:rsidRPr="002B110B" w:rsidRDefault="00DD35D2" w:rsidP="00C27A95">
            <w:r>
              <w:t>Master</w:t>
            </w:r>
            <w:r w:rsidR="00422B6C" w:rsidRPr="002B110B">
              <w:t xml:space="preserve"> of Accounting</w:t>
            </w:r>
          </w:p>
        </w:tc>
        <w:tc>
          <w:tcPr>
            <w:tcW w:w="1845" w:type="dxa"/>
          </w:tcPr>
          <w:p w14:paraId="5ADA7CEB" w14:textId="53E16EB4" w:rsidR="00422B6C" w:rsidRPr="002B110B" w:rsidRDefault="00422B6C" w:rsidP="00C60CBA">
            <w:pPr>
              <w:jc w:val="center"/>
            </w:pPr>
            <w:r w:rsidRPr="002B110B">
              <w:t>$</w:t>
            </w:r>
            <w:r w:rsidR="00C27A95">
              <w:t>11,317</w:t>
            </w:r>
          </w:p>
        </w:tc>
        <w:tc>
          <w:tcPr>
            <w:tcW w:w="1845" w:type="dxa"/>
          </w:tcPr>
          <w:p w14:paraId="0AF72AB3" w14:textId="3F006380" w:rsidR="00422B6C" w:rsidRPr="002B110B" w:rsidRDefault="00422B6C" w:rsidP="00C60CBA">
            <w:pPr>
              <w:jc w:val="center"/>
            </w:pPr>
            <w:r w:rsidRPr="002B110B">
              <w:t>$</w:t>
            </w:r>
            <w:r w:rsidR="00C27A95">
              <w:t>18,547</w:t>
            </w:r>
          </w:p>
        </w:tc>
      </w:tr>
      <w:tr w:rsidR="00422B6C" w:rsidRPr="002B110B" w14:paraId="7630B327" w14:textId="77777777" w:rsidTr="00C60CBA">
        <w:trPr>
          <w:trHeight w:val="563"/>
        </w:trPr>
        <w:tc>
          <w:tcPr>
            <w:tcW w:w="4590" w:type="dxa"/>
          </w:tcPr>
          <w:p w14:paraId="4537CE97" w14:textId="77777777" w:rsidR="00422B6C" w:rsidRPr="002B110B" w:rsidRDefault="00422B6C" w:rsidP="00C27A95">
            <w:r w:rsidRPr="002B110B">
              <w:t>Master of Science in Analytics</w:t>
            </w:r>
          </w:p>
        </w:tc>
        <w:tc>
          <w:tcPr>
            <w:tcW w:w="1845" w:type="dxa"/>
          </w:tcPr>
          <w:p w14:paraId="08FD6228" w14:textId="5F66911B" w:rsidR="00422B6C" w:rsidRPr="002B110B" w:rsidRDefault="00422B6C" w:rsidP="00C60CBA">
            <w:pPr>
              <w:jc w:val="center"/>
            </w:pPr>
            <w:r w:rsidRPr="002B110B">
              <w:t>$</w:t>
            </w:r>
            <w:r w:rsidR="00C27A95">
              <w:t>10,286</w:t>
            </w:r>
          </w:p>
        </w:tc>
        <w:tc>
          <w:tcPr>
            <w:tcW w:w="1845" w:type="dxa"/>
          </w:tcPr>
          <w:p w14:paraId="7BAB5033" w14:textId="43F823AA" w:rsidR="00422B6C" w:rsidRPr="002B110B" w:rsidRDefault="00422B6C" w:rsidP="00C60CBA">
            <w:pPr>
              <w:jc w:val="center"/>
            </w:pPr>
            <w:r w:rsidRPr="002B110B">
              <w:t>$</w:t>
            </w:r>
            <w:r w:rsidR="00C27A95">
              <w:t>17,547</w:t>
            </w:r>
          </w:p>
        </w:tc>
      </w:tr>
      <w:tr w:rsidR="00984F12" w:rsidRPr="002B110B" w14:paraId="5039B944" w14:textId="77777777" w:rsidTr="00C60CBA">
        <w:trPr>
          <w:trHeight w:val="563"/>
        </w:trPr>
        <w:tc>
          <w:tcPr>
            <w:tcW w:w="4590" w:type="dxa"/>
          </w:tcPr>
          <w:p w14:paraId="371FA7BE" w14:textId="007C6199" w:rsidR="00984F12" w:rsidRPr="002B110B" w:rsidRDefault="00984F12" w:rsidP="00C27A95">
            <w:r w:rsidRPr="00984F12">
              <w:rPr>
                <w:b/>
                <w:bCs/>
              </w:rPr>
              <w:t>CSC - Proposed</w:t>
            </w:r>
          </w:p>
        </w:tc>
        <w:tc>
          <w:tcPr>
            <w:tcW w:w="1845" w:type="dxa"/>
          </w:tcPr>
          <w:p w14:paraId="5472FD43" w14:textId="56BDA26E" w:rsidR="00984F12" w:rsidRPr="002B110B" w:rsidRDefault="00B8527C" w:rsidP="00C60CBA">
            <w:pPr>
              <w:jc w:val="center"/>
            </w:pPr>
            <w:r w:rsidRPr="00C27A95">
              <w:rPr>
                <w:b/>
                <w:bCs/>
              </w:rPr>
              <w:t>$</w:t>
            </w:r>
            <w:r>
              <w:rPr>
                <w:b/>
                <w:bCs/>
              </w:rPr>
              <w:t>8,986</w:t>
            </w:r>
          </w:p>
        </w:tc>
        <w:tc>
          <w:tcPr>
            <w:tcW w:w="1845" w:type="dxa"/>
          </w:tcPr>
          <w:p w14:paraId="5A6AD9FE" w14:textId="485FE39C" w:rsidR="00984F12" w:rsidRPr="002B110B" w:rsidRDefault="00B8527C" w:rsidP="00C60CBA">
            <w:pPr>
              <w:jc w:val="center"/>
            </w:pPr>
            <w:r w:rsidRPr="00C27A95">
              <w:rPr>
                <w:b/>
                <w:bCs/>
              </w:rPr>
              <w:t>$</w:t>
            </w:r>
            <w:r>
              <w:rPr>
                <w:b/>
                <w:bCs/>
              </w:rPr>
              <w:t>16,247</w:t>
            </w:r>
          </w:p>
        </w:tc>
      </w:tr>
      <w:tr w:rsidR="00422B6C" w:rsidRPr="002B110B" w14:paraId="1D5C77EA" w14:textId="77777777" w:rsidTr="00C60CBA">
        <w:trPr>
          <w:trHeight w:val="563"/>
        </w:trPr>
        <w:tc>
          <w:tcPr>
            <w:tcW w:w="4590" w:type="dxa"/>
          </w:tcPr>
          <w:p w14:paraId="4555DE79" w14:textId="77777777" w:rsidR="00422B6C" w:rsidRPr="002B110B" w:rsidRDefault="00422B6C" w:rsidP="00C27A95">
            <w:r w:rsidRPr="002B110B">
              <w:t>Master of Financial Mathematics</w:t>
            </w:r>
          </w:p>
        </w:tc>
        <w:tc>
          <w:tcPr>
            <w:tcW w:w="1845" w:type="dxa"/>
          </w:tcPr>
          <w:p w14:paraId="0A4492D0" w14:textId="73F3288F" w:rsidR="00422B6C" w:rsidRPr="002B110B" w:rsidRDefault="00422B6C" w:rsidP="00C60CBA">
            <w:pPr>
              <w:jc w:val="center"/>
            </w:pPr>
            <w:r w:rsidRPr="002B110B">
              <w:t>$</w:t>
            </w:r>
            <w:r w:rsidR="00C27A95">
              <w:t>8,286</w:t>
            </w:r>
          </w:p>
        </w:tc>
        <w:tc>
          <w:tcPr>
            <w:tcW w:w="1845" w:type="dxa"/>
          </w:tcPr>
          <w:p w14:paraId="03C0FAA6" w14:textId="79EDA164" w:rsidR="00422B6C" w:rsidRPr="002B110B" w:rsidRDefault="00422B6C" w:rsidP="00C60CBA">
            <w:pPr>
              <w:jc w:val="center"/>
            </w:pPr>
            <w:r w:rsidRPr="002B110B">
              <w:t>$</w:t>
            </w:r>
            <w:r w:rsidR="00C27A95">
              <w:t>15,547</w:t>
            </w:r>
          </w:p>
        </w:tc>
      </w:tr>
      <w:tr w:rsidR="00037BC6" w:rsidRPr="002B110B" w14:paraId="2D1AF142" w14:textId="77777777" w:rsidTr="00037BC6">
        <w:trPr>
          <w:trHeight w:val="563"/>
        </w:trPr>
        <w:tc>
          <w:tcPr>
            <w:tcW w:w="4590" w:type="dxa"/>
            <w:tcBorders>
              <w:bottom w:val="single" w:sz="4" w:space="0" w:color="auto"/>
            </w:tcBorders>
          </w:tcPr>
          <w:p w14:paraId="72CD4CDB" w14:textId="6F910598" w:rsidR="00037BC6" w:rsidRPr="002B110B" w:rsidRDefault="00037BC6" w:rsidP="00C27A95">
            <w:r>
              <w:t>ECE and CSC (current)</w:t>
            </w:r>
          </w:p>
        </w:tc>
        <w:tc>
          <w:tcPr>
            <w:tcW w:w="1845" w:type="dxa"/>
            <w:tcBorders>
              <w:bottom w:val="single" w:sz="4" w:space="0" w:color="auto"/>
            </w:tcBorders>
          </w:tcPr>
          <w:p w14:paraId="490A70E8" w14:textId="2990981F" w:rsidR="00037BC6" w:rsidRPr="002B110B" w:rsidRDefault="00037BC6" w:rsidP="00037BC6">
            <w:pPr>
              <w:jc w:val="center"/>
            </w:pPr>
            <w:r>
              <w:t>$8,186</w:t>
            </w:r>
          </w:p>
        </w:tc>
        <w:tc>
          <w:tcPr>
            <w:tcW w:w="1845" w:type="dxa"/>
            <w:tcBorders>
              <w:bottom w:val="single" w:sz="4" w:space="0" w:color="auto"/>
            </w:tcBorders>
          </w:tcPr>
          <w:p w14:paraId="309A5E28" w14:textId="2B28B980" w:rsidR="00037BC6" w:rsidRPr="002B110B" w:rsidRDefault="00037BC6" w:rsidP="00037BC6">
            <w:pPr>
              <w:jc w:val="center"/>
            </w:pPr>
            <w:r>
              <w:t>$15,447</w:t>
            </w:r>
          </w:p>
        </w:tc>
      </w:tr>
    </w:tbl>
    <w:p w14:paraId="3B86B890" w14:textId="3A3A7C6C" w:rsidR="00422B6C" w:rsidRDefault="00037BC6" w:rsidP="00C27A95">
      <w:r>
        <w:t>Table 4. Tuition and fees for premium tuition programs at N.C. State in 2016-17</w:t>
      </w:r>
    </w:p>
    <w:p w14:paraId="7E2DB30A" w14:textId="77777777" w:rsidR="00037BC6" w:rsidRDefault="00037BC6" w:rsidP="00C27A95"/>
    <w:p w14:paraId="3A632E1A" w14:textId="4CB3C080" w:rsidR="00422B6C" w:rsidRDefault="00422B6C" w:rsidP="00C27A95">
      <w:r w:rsidRPr="0037726A">
        <w:t xml:space="preserve">The proposed tuition increase will </w:t>
      </w:r>
      <w:r>
        <w:t xml:space="preserve">still </w:t>
      </w:r>
      <w:r w:rsidRPr="0037726A">
        <w:t xml:space="preserve">leave </w:t>
      </w:r>
      <w:r>
        <w:t xml:space="preserve">the cost of </w:t>
      </w:r>
      <w:r w:rsidR="00C27A95">
        <w:t>Computer Science</w:t>
      </w:r>
      <w:r>
        <w:t xml:space="preserve"> tuition </w:t>
      </w:r>
      <w:r w:rsidRPr="0037726A">
        <w:t xml:space="preserve">below </w:t>
      </w:r>
      <w:r>
        <w:t>the</w:t>
      </w:r>
      <w:r w:rsidRPr="0037726A">
        <w:t xml:space="preserve"> </w:t>
      </w:r>
      <w:r>
        <w:t xml:space="preserve">tuitions charged to students for the MSA, MAC, </w:t>
      </w:r>
      <w:r w:rsidR="00B8527C">
        <w:t>MSCEM, MBA, and MG</w:t>
      </w:r>
      <w:r>
        <w:t>IM</w:t>
      </w:r>
      <w:r w:rsidR="007B53C7">
        <w:t xml:space="preserve"> </w:t>
      </w:r>
      <w:r w:rsidR="00FD7297">
        <w:t>– this comparison</w:t>
      </w:r>
      <w:r w:rsidR="007B53C7">
        <w:t xml:space="preserve"> does not account for tuition increases </w:t>
      </w:r>
      <w:r w:rsidR="0049208F">
        <w:t xml:space="preserve">being </w:t>
      </w:r>
      <w:r w:rsidR="007B53C7">
        <w:t>proposed by these programs</w:t>
      </w:r>
      <w:r>
        <w:t>.  Note that:</w:t>
      </w:r>
    </w:p>
    <w:p w14:paraId="09EC615B" w14:textId="56B2B65C" w:rsidR="00422B6C" w:rsidRDefault="00B8527C" w:rsidP="00C27A95">
      <w:pPr>
        <w:pStyle w:val="ListParagraph"/>
        <w:numPr>
          <w:ilvl w:val="0"/>
          <w:numId w:val="3"/>
        </w:numPr>
      </w:pPr>
      <w:proofErr w:type="gramStart"/>
      <w:r>
        <w:t>our</w:t>
      </w:r>
      <w:proofErr w:type="gramEnd"/>
      <w:r>
        <w:t xml:space="preserve"> program</w:t>
      </w:r>
      <w:r w:rsidR="00422B6C" w:rsidRPr="0037726A">
        <w:t xml:space="preserve"> </w:t>
      </w:r>
      <w:r w:rsidR="007B53C7">
        <w:t>is</w:t>
      </w:r>
      <w:r w:rsidR="00422B6C" w:rsidRPr="0037726A">
        <w:t xml:space="preserve"> larger and in higher demand (based on </w:t>
      </w:r>
      <w:r w:rsidR="00422B6C">
        <w:t xml:space="preserve">the number of </w:t>
      </w:r>
      <w:r w:rsidR="00422B6C" w:rsidRPr="0037726A">
        <w:t>applications) than these other programs</w:t>
      </w:r>
      <w:r w:rsidR="00422B6C">
        <w:t>;</w:t>
      </w:r>
      <w:r>
        <w:t xml:space="preserve"> and</w:t>
      </w:r>
    </w:p>
    <w:p w14:paraId="4C5FA597" w14:textId="09CDCA55" w:rsidR="00422B6C" w:rsidRDefault="00422B6C" w:rsidP="00C27A95">
      <w:pPr>
        <w:pStyle w:val="ListParagraph"/>
        <w:numPr>
          <w:ilvl w:val="0"/>
          <w:numId w:val="3"/>
        </w:numPr>
      </w:pPr>
      <w:proofErr w:type="gramStart"/>
      <w:r w:rsidRPr="0037726A">
        <w:t>our</w:t>
      </w:r>
      <w:proofErr w:type="gramEnd"/>
      <w:r w:rsidRPr="0037726A">
        <w:t xml:space="preserve"> graduates' average salaries are higher than the salaries re</w:t>
      </w:r>
      <w:r>
        <w:t>ported for these other programs.</w:t>
      </w:r>
    </w:p>
    <w:p w14:paraId="0C608147" w14:textId="77777777" w:rsidR="00422B6C" w:rsidRDefault="00422B6C" w:rsidP="00C27A95"/>
    <w:p w14:paraId="71E3FB8C" w14:textId="77777777" w:rsidR="00422B6C" w:rsidRDefault="00422B6C" w:rsidP="003863A5">
      <w:pPr>
        <w:rPr>
          <w:b/>
        </w:rPr>
      </w:pPr>
    </w:p>
    <w:p w14:paraId="50EA0B43" w14:textId="77777777" w:rsidR="00422B6C" w:rsidRPr="00C348C4" w:rsidRDefault="00422B6C" w:rsidP="003863A5">
      <w:pPr>
        <w:rPr>
          <w:b/>
        </w:rPr>
      </w:pPr>
    </w:p>
    <w:p w14:paraId="6920A003" w14:textId="6C635197" w:rsidR="00C348C4" w:rsidRDefault="00C348C4" w:rsidP="005012F3">
      <w:pPr>
        <w:rPr>
          <w:b/>
        </w:rPr>
      </w:pPr>
      <w:r w:rsidRPr="00C348C4">
        <w:rPr>
          <w:b/>
        </w:rPr>
        <w:t>G. A plan for the intended use of additional tuition receipts</w:t>
      </w:r>
    </w:p>
    <w:p w14:paraId="5C36A340" w14:textId="77777777" w:rsidR="003D1585" w:rsidRDefault="003D1585" w:rsidP="00021436"/>
    <w:p w14:paraId="6DBC4921" w14:textId="77777777" w:rsidR="00021436" w:rsidRDefault="00021436" w:rsidP="00021436">
      <w:r>
        <w:t>The proposed tuition increase will be allocated approximately as follows:</w:t>
      </w:r>
    </w:p>
    <w:p w14:paraId="6B4E7816" w14:textId="77777777" w:rsidR="00021436" w:rsidRDefault="00021436" w:rsidP="00021436"/>
    <w:p w14:paraId="74E75D1C" w14:textId="55D281D3" w:rsidR="00243B98" w:rsidRDefault="00243B98" w:rsidP="003D1585">
      <w:pPr>
        <w:pStyle w:val="ListParagraph"/>
        <w:numPr>
          <w:ilvl w:val="0"/>
          <w:numId w:val="9"/>
        </w:numPr>
      </w:pPr>
      <w:r>
        <w:t>1</w:t>
      </w:r>
      <w:r w:rsidR="003D1585">
        <w:t>5%</w:t>
      </w:r>
      <w:r w:rsidR="00F005FD">
        <w:t xml:space="preserve"> - </w:t>
      </w:r>
      <w:r w:rsidR="003F3AC7">
        <w:t>Fellowships</w:t>
      </w:r>
      <w:bookmarkStart w:id="0" w:name="_GoBack"/>
      <w:bookmarkEnd w:id="0"/>
    </w:p>
    <w:p w14:paraId="353B1BDB" w14:textId="4FAE9446" w:rsidR="003D1585" w:rsidRPr="0050740D" w:rsidRDefault="003D1585" w:rsidP="0050740D">
      <w:pPr>
        <w:pStyle w:val="ListParagraph"/>
        <w:numPr>
          <w:ilvl w:val="0"/>
          <w:numId w:val="9"/>
        </w:numPr>
      </w:pPr>
      <w:r>
        <w:t>85%</w:t>
      </w:r>
      <w:r w:rsidR="00F005FD">
        <w:t xml:space="preserve"> -</w:t>
      </w:r>
      <w:r w:rsidR="0050740D">
        <w:t xml:space="preserve"> Program support (including, but not limited to: f</w:t>
      </w:r>
      <w:r w:rsidRPr="0050740D">
        <w:t>acu</w:t>
      </w:r>
      <w:r w:rsidR="0050740D" w:rsidRPr="0050740D">
        <w:t>lty and teaching assistants</w:t>
      </w:r>
      <w:r w:rsidR="00DD35D2">
        <w:t>;</w:t>
      </w:r>
      <w:r w:rsidR="0050740D">
        <w:t xml:space="preserve"> g</w:t>
      </w:r>
      <w:r w:rsidR="0050740D" w:rsidRPr="0050740D">
        <w:t>raduate program staff</w:t>
      </w:r>
      <w:r w:rsidR="00DD35D2">
        <w:t>;</w:t>
      </w:r>
      <w:r w:rsidR="0050740D">
        <w:t xml:space="preserve"> s</w:t>
      </w:r>
      <w:r w:rsidRPr="0050740D">
        <w:t>oftware, equipment, and technical support needed</w:t>
      </w:r>
      <w:r w:rsidR="0050740D">
        <w:t>,</w:t>
      </w:r>
      <w:r w:rsidRPr="0050740D">
        <w:t xml:space="preserve"> a</w:t>
      </w:r>
      <w:r w:rsidR="0050740D" w:rsidRPr="0050740D">
        <w:t>bove and beyond ETF funding</w:t>
      </w:r>
      <w:r w:rsidR="00DD35D2">
        <w:t>;</w:t>
      </w:r>
      <w:r w:rsidR="0050740D">
        <w:t xml:space="preserve"> o</w:t>
      </w:r>
      <w:r w:rsidR="0050740D" w:rsidRPr="0050740D">
        <w:t>nline education initiatives</w:t>
      </w:r>
      <w:r w:rsidR="00DD35D2">
        <w:t>;</w:t>
      </w:r>
      <w:r w:rsidR="0050740D">
        <w:t xml:space="preserve"> p</w:t>
      </w:r>
      <w:r w:rsidR="00DD35D2">
        <w:t xml:space="preserve">rofessional development; </w:t>
      </w:r>
      <w:r w:rsidRPr="0050740D">
        <w:t>employer re</w:t>
      </w:r>
      <w:r w:rsidR="00DD35D2">
        <w:t>lations;</w:t>
      </w:r>
      <w:r w:rsidR="0050740D" w:rsidRPr="0050740D">
        <w:t xml:space="preserve"> and career services</w:t>
      </w:r>
      <w:r w:rsidR="0050740D">
        <w:t>)</w:t>
      </w:r>
    </w:p>
    <w:p w14:paraId="53831C91" w14:textId="77777777" w:rsidR="003D1585" w:rsidRDefault="003D1585" w:rsidP="00021436"/>
    <w:p w14:paraId="2AFE710F" w14:textId="3021AA84" w:rsidR="00021436" w:rsidRDefault="00021436" w:rsidP="00021436">
      <w:r>
        <w:t xml:space="preserve">These expenditures will improve the quality, scholarship, and experience of our students as described </w:t>
      </w:r>
      <w:r w:rsidR="003D1585">
        <w:t xml:space="preserve">in Section </w:t>
      </w:r>
      <w:proofErr w:type="gramStart"/>
      <w:r w:rsidR="003D1585">
        <w:t>A</w:t>
      </w:r>
      <w:proofErr w:type="gramEnd"/>
      <w:r w:rsidR="003D1585">
        <w:t xml:space="preserve"> </w:t>
      </w:r>
      <w:r>
        <w:t>above.</w:t>
      </w:r>
    </w:p>
    <w:p w14:paraId="55B722BB" w14:textId="77777777" w:rsidR="00021436" w:rsidRPr="00C348C4" w:rsidRDefault="00021436" w:rsidP="005012F3">
      <w:pPr>
        <w:rPr>
          <w:b/>
        </w:rPr>
      </w:pPr>
    </w:p>
    <w:p w14:paraId="23A78342" w14:textId="77777777" w:rsidR="00C348C4" w:rsidRPr="00C348C4" w:rsidRDefault="00C348C4" w:rsidP="005012F3">
      <w:pPr>
        <w:rPr>
          <w:b/>
        </w:rPr>
      </w:pPr>
    </w:p>
    <w:p w14:paraId="393E0D29" w14:textId="34D592D6" w:rsidR="00C348C4" w:rsidRPr="00C348C4" w:rsidRDefault="00C348C4" w:rsidP="005012F3">
      <w:pPr>
        <w:rPr>
          <w:b/>
        </w:rPr>
      </w:pPr>
      <w:r w:rsidRPr="00C348C4">
        <w:rPr>
          <w:b/>
        </w:rPr>
        <w:t>H. Assistantships or grant support for graduate students</w:t>
      </w:r>
    </w:p>
    <w:p w14:paraId="1C8BA8C0" w14:textId="77777777" w:rsidR="00C348C4" w:rsidRDefault="00C348C4" w:rsidP="005012F3">
      <w:pPr>
        <w:rPr>
          <w:b/>
        </w:rPr>
      </w:pPr>
    </w:p>
    <w:p w14:paraId="0505DE5F" w14:textId="77777777" w:rsidR="00405966" w:rsidRDefault="00D625AD" w:rsidP="00D625AD">
      <w:r>
        <w:t xml:space="preserve">Approximately </w:t>
      </w:r>
      <w:r w:rsidR="00FA6725">
        <w:t>18</w:t>
      </w:r>
      <w:r>
        <w:t xml:space="preserve"> Masters degree students are supported each year on teaching or research assistant</w:t>
      </w:r>
      <w:r w:rsidR="00DD35D2">
        <w:t xml:space="preserve">ships </w:t>
      </w:r>
      <w:r w:rsidR="00405966">
        <w:t>that include the GSSP</w:t>
      </w:r>
      <w:r w:rsidR="00DD35D2">
        <w:t>; b</w:t>
      </w:r>
      <w:r>
        <w:t xml:space="preserve">y comparison, the number of PhD students on teaching or research assistantships is </w:t>
      </w:r>
      <w:r w:rsidR="00FA6725">
        <w:t>152</w:t>
      </w:r>
      <w:r w:rsidR="00DD35D2">
        <w:t>.</w:t>
      </w:r>
      <w:r>
        <w:t xml:space="preserve">  </w:t>
      </w:r>
    </w:p>
    <w:p w14:paraId="5C55B850" w14:textId="77777777" w:rsidR="00405966" w:rsidRDefault="00405966" w:rsidP="00D625AD"/>
    <w:p w14:paraId="5F8CBFE9" w14:textId="03D52395" w:rsidR="00405966" w:rsidRDefault="00405966" w:rsidP="00D625AD">
      <w:r>
        <w:lastRenderedPageBreak/>
        <w:t xml:space="preserve">For graduate students (Masters or PhD) appointed on the premium tuition account, </w:t>
      </w:r>
      <w:r>
        <w:rPr>
          <w:rFonts w:eastAsia="Times New Roman" w:cs="Times New Roman"/>
        </w:rPr>
        <w:t xml:space="preserve">the 25% GSSP </w:t>
      </w:r>
      <w:r w:rsidR="0023463C">
        <w:rPr>
          <w:rFonts w:eastAsia="Times New Roman" w:cs="Times New Roman"/>
        </w:rPr>
        <w:t>tuition remission match (for non-residents)</w:t>
      </w:r>
      <w:r>
        <w:rPr>
          <w:rFonts w:eastAsia="Times New Roman" w:cs="Times New Roman"/>
        </w:rPr>
        <w:t xml:space="preserve">, in-state tuition </w:t>
      </w:r>
      <w:r w:rsidR="0023463C">
        <w:rPr>
          <w:rFonts w:eastAsia="Times New Roman" w:cs="Times New Roman"/>
        </w:rPr>
        <w:t xml:space="preserve">award </w:t>
      </w:r>
      <w:r>
        <w:rPr>
          <w:rFonts w:eastAsia="Times New Roman" w:cs="Times New Roman"/>
        </w:rPr>
        <w:t>(ISTA), and health insurance (GSHI) required for students supported from non-state sources will be paid from the premium tuition receipts.</w:t>
      </w:r>
      <w:r w:rsidR="0023463C">
        <w:rPr>
          <w:rFonts w:eastAsia="Times New Roman" w:cs="Times New Roman"/>
        </w:rPr>
        <w:t xml:space="preserve"> Therefore, the increase in premium tuition will allow the department to grow the number of supported graduate students without affecting the GSSP costs to the university.</w:t>
      </w:r>
    </w:p>
    <w:p w14:paraId="0550A65C" w14:textId="77777777" w:rsidR="00D625AD" w:rsidRPr="00C348C4" w:rsidRDefault="00D625AD" w:rsidP="005012F3">
      <w:pPr>
        <w:rPr>
          <w:b/>
        </w:rPr>
      </w:pPr>
    </w:p>
    <w:p w14:paraId="382FB184" w14:textId="77777777" w:rsidR="0049208F" w:rsidRDefault="0049208F" w:rsidP="005012F3">
      <w:pPr>
        <w:rPr>
          <w:b/>
        </w:rPr>
      </w:pPr>
    </w:p>
    <w:p w14:paraId="006EE15B" w14:textId="6D29B162" w:rsidR="00C348C4" w:rsidRDefault="00C348C4" w:rsidP="005012F3">
      <w:r w:rsidRPr="00C348C4">
        <w:rPr>
          <w:b/>
        </w:rPr>
        <w:t>I. Analysis of student indebtedness levels within the university</w:t>
      </w:r>
    </w:p>
    <w:p w14:paraId="38C809B8" w14:textId="77777777" w:rsidR="00C348C4" w:rsidRDefault="00C348C4" w:rsidP="005012F3"/>
    <w:p w14:paraId="1DD4E829" w14:textId="0048A631" w:rsidR="00AE1C4D" w:rsidRPr="00AE1C4D" w:rsidRDefault="00021436" w:rsidP="00021436">
      <w:r>
        <w:t xml:space="preserve">According to the Office of Financial Aid and Scholarships at N.C. State, </w:t>
      </w:r>
      <w:r w:rsidR="00AE1C4D">
        <w:rPr>
          <w:rFonts w:cs="Helvetica"/>
        </w:rPr>
        <w:t>f</w:t>
      </w:r>
      <w:r w:rsidR="00AE1C4D" w:rsidRPr="00AE1C4D">
        <w:rPr>
          <w:rFonts w:cs="Helvetica"/>
        </w:rPr>
        <w:t xml:space="preserve">or students who completed </w:t>
      </w:r>
      <w:r w:rsidR="00AE1C4D">
        <w:t xml:space="preserve">the </w:t>
      </w:r>
      <w:proofErr w:type="gramStart"/>
      <w:r w:rsidR="00AE1C4D">
        <w:t>two degree</w:t>
      </w:r>
      <w:proofErr w:type="gramEnd"/>
      <w:r w:rsidR="00AE1C4D">
        <w:t xml:space="preserve"> programs targeted by this proposal</w:t>
      </w:r>
      <w:r w:rsidR="00AE1C4D" w:rsidRPr="00AE1C4D">
        <w:rPr>
          <w:rFonts w:cs="Helvetica"/>
        </w:rPr>
        <w:t xml:space="preserve"> between July 1, 2015 and June 30, 2016, 4.6% borrowed through the federal student loan programs for an average of $31,863. The average is based on the students that borrowed rather than the whole class.</w:t>
      </w:r>
    </w:p>
    <w:p w14:paraId="712AC609" w14:textId="77777777" w:rsidR="00AE1C4D" w:rsidRDefault="00AE1C4D" w:rsidP="00021436"/>
    <w:p w14:paraId="2A61DCBB" w14:textId="7988EAA4" w:rsidR="00D13F20" w:rsidRDefault="00D13F20" w:rsidP="005012F3"/>
    <w:p w14:paraId="34427DE5" w14:textId="77777777" w:rsidR="00D13F20" w:rsidRDefault="00D13F20" w:rsidP="005012F3"/>
    <w:p w14:paraId="428FB2D9" w14:textId="77777777" w:rsidR="00A73489" w:rsidRDefault="00A73489" w:rsidP="005012F3"/>
    <w:p w14:paraId="1190CE2D" w14:textId="77777777" w:rsidR="0081700A" w:rsidRPr="0008293C" w:rsidRDefault="0081700A" w:rsidP="00EF6994">
      <w:pPr>
        <w:ind w:left="432"/>
      </w:pPr>
    </w:p>
    <w:p w14:paraId="0254D04D" w14:textId="6AEF80D1" w:rsidR="0037726A" w:rsidRDefault="0037726A" w:rsidP="00DF46BC">
      <w:pPr>
        <w:ind w:left="432"/>
      </w:pPr>
    </w:p>
    <w:p w14:paraId="2F88403B" w14:textId="77777777" w:rsidR="00596918" w:rsidRDefault="00596918" w:rsidP="002212AF">
      <w:pPr>
        <w:ind w:left="432"/>
      </w:pPr>
    </w:p>
    <w:p w14:paraId="1914E74F" w14:textId="77777777" w:rsidR="00596918" w:rsidRDefault="00596918" w:rsidP="00596918"/>
    <w:p w14:paraId="22EF3DAD" w14:textId="77777777" w:rsidR="00422B6C" w:rsidRDefault="00422B6C"/>
    <w:p w14:paraId="4F1DD28A" w14:textId="77777777" w:rsidR="00422B6C" w:rsidRDefault="00422B6C"/>
    <w:p w14:paraId="628448ED" w14:textId="77777777" w:rsidR="00C01A74" w:rsidRDefault="00C01A74">
      <w:pPr>
        <w:rPr>
          <w:b/>
          <w:highlight w:val="yellow"/>
        </w:rPr>
      </w:pPr>
    </w:p>
    <w:p w14:paraId="07EEA1F7" w14:textId="77777777" w:rsidR="00C01A74" w:rsidRDefault="00C01A74">
      <w:pPr>
        <w:rPr>
          <w:b/>
          <w:highlight w:val="yellow"/>
        </w:rPr>
      </w:pPr>
    </w:p>
    <w:p w14:paraId="68C8297D" w14:textId="77777777" w:rsidR="00C01A74" w:rsidRDefault="00C01A74">
      <w:pPr>
        <w:rPr>
          <w:b/>
          <w:highlight w:val="yellow"/>
        </w:rPr>
      </w:pPr>
    </w:p>
    <w:p w14:paraId="61EC996B" w14:textId="77777777" w:rsidR="00C01A74" w:rsidRDefault="00C01A74">
      <w:pPr>
        <w:rPr>
          <w:b/>
          <w:highlight w:val="yellow"/>
        </w:rPr>
      </w:pPr>
    </w:p>
    <w:p w14:paraId="4CC6851F" w14:textId="77777777" w:rsidR="00C01A74" w:rsidRDefault="00C01A74">
      <w:pPr>
        <w:rPr>
          <w:b/>
          <w:highlight w:val="yellow"/>
        </w:rPr>
      </w:pPr>
    </w:p>
    <w:p w14:paraId="76EDDBA3" w14:textId="77777777" w:rsidR="00C01A74" w:rsidRDefault="00C01A74">
      <w:pPr>
        <w:rPr>
          <w:b/>
          <w:highlight w:val="yellow"/>
        </w:rPr>
      </w:pPr>
    </w:p>
    <w:p w14:paraId="1E0FF334" w14:textId="77777777" w:rsidR="00C01A74" w:rsidRDefault="00C01A74">
      <w:pPr>
        <w:rPr>
          <w:b/>
          <w:highlight w:val="yellow"/>
        </w:rPr>
      </w:pPr>
    </w:p>
    <w:p w14:paraId="64F1D673" w14:textId="77777777" w:rsidR="00C01A74" w:rsidRDefault="00C01A74">
      <w:pPr>
        <w:rPr>
          <w:b/>
          <w:highlight w:val="yellow"/>
        </w:rPr>
      </w:pPr>
    </w:p>
    <w:p w14:paraId="2CBCDB56" w14:textId="77777777" w:rsidR="00C01A74" w:rsidRDefault="00C01A74">
      <w:pPr>
        <w:rPr>
          <w:b/>
          <w:highlight w:val="yellow"/>
        </w:rPr>
      </w:pPr>
    </w:p>
    <w:p w14:paraId="643738BF" w14:textId="77777777" w:rsidR="00C01A74" w:rsidRDefault="00C01A74">
      <w:pPr>
        <w:rPr>
          <w:b/>
          <w:highlight w:val="yellow"/>
        </w:rPr>
      </w:pPr>
    </w:p>
    <w:p w14:paraId="3588F4AB" w14:textId="77777777" w:rsidR="00C01A74" w:rsidRDefault="00C01A74">
      <w:pPr>
        <w:rPr>
          <w:b/>
          <w:highlight w:val="yellow"/>
        </w:rPr>
      </w:pPr>
    </w:p>
    <w:p w14:paraId="621F1292" w14:textId="77777777" w:rsidR="00C01A74" w:rsidRDefault="00C01A74">
      <w:pPr>
        <w:rPr>
          <w:b/>
          <w:highlight w:val="yellow"/>
        </w:rPr>
      </w:pPr>
    </w:p>
    <w:p w14:paraId="5D184BB2" w14:textId="77777777" w:rsidR="00C01A74" w:rsidRDefault="00C01A74">
      <w:pPr>
        <w:rPr>
          <w:b/>
          <w:highlight w:val="yellow"/>
        </w:rPr>
      </w:pPr>
    </w:p>
    <w:p w14:paraId="081CD1A5" w14:textId="77777777" w:rsidR="00C01A74" w:rsidRDefault="00C01A74">
      <w:pPr>
        <w:rPr>
          <w:b/>
          <w:highlight w:val="yellow"/>
        </w:rPr>
      </w:pPr>
    </w:p>
    <w:p w14:paraId="54A36295" w14:textId="77777777" w:rsidR="00C01A74" w:rsidRDefault="00C01A74">
      <w:pPr>
        <w:rPr>
          <w:b/>
          <w:highlight w:val="yellow"/>
        </w:rPr>
      </w:pPr>
    </w:p>
    <w:p w14:paraId="1B09DE73" w14:textId="77777777" w:rsidR="00C01A74" w:rsidRDefault="00C01A74">
      <w:pPr>
        <w:rPr>
          <w:b/>
          <w:highlight w:val="yellow"/>
        </w:rPr>
      </w:pPr>
    </w:p>
    <w:p w14:paraId="64A79FF7" w14:textId="77777777" w:rsidR="00C01A74" w:rsidRDefault="00C01A74">
      <w:pPr>
        <w:rPr>
          <w:b/>
          <w:highlight w:val="yellow"/>
        </w:rPr>
      </w:pPr>
    </w:p>
    <w:p w14:paraId="0DB0BDCB" w14:textId="77777777" w:rsidR="00C01A74" w:rsidRDefault="00C01A74">
      <w:pPr>
        <w:rPr>
          <w:b/>
          <w:highlight w:val="yellow"/>
        </w:rPr>
      </w:pPr>
    </w:p>
    <w:p w14:paraId="506DE046" w14:textId="77777777" w:rsidR="00C01A74" w:rsidRDefault="00C01A74">
      <w:pPr>
        <w:rPr>
          <w:b/>
          <w:highlight w:val="yellow"/>
        </w:rPr>
      </w:pPr>
    </w:p>
    <w:p w14:paraId="2241BADE" w14:textId="77777777" w:rsidR="00C01A74" w:rsidRDefault="00C01A74">
      <w:pPr>
        <w:rPr>
          <w:b/>
          <w:highlight w:val="yellow"/>
        </w:rPr>
      </w:pPr>
    </w:p>
    <w:p w14:paraId="764E374B" w14:textId="77777777" w:rsidR="00B0422D" w:rsidRDefault="00B0422D">
      <w:pPr>
        <w:rPr>
          <w:b/>
          <w:highlight w:val="yellow"/>
        </w:rPr>
      </w:pPr>
    </w:p>
    <w:p w14:paraId="70995086" w14:textId="12346D26" w:rsidR="006F20F4" w:rsidRPr="0007798E" w:rsidRDefault="006F20F4">
      <w:pPr>
        <w:rPr>
          <w:b/>
        </w:rPr>
      </w:pPr>
      <w:r w:rsidRPr="0007798E">
        <w:rPr>
          <w:b/>
        </w:rPr>
        <w:lastRenderedPageBreak/>
        <w:t xml:space="preserve">Appendix </w:t>
      </w:r>
      <w:r w:rsidR="00AA70DA" w:rsidRPr="0007798E">
        <w:rPr>
          <w:b/>
        </w:rPr>
        <w:t>A</w:t>
      </w:r>
    </w:p>
    <w:p w14:paraId="38E45FE3" w14:textId="733B02FD" w:rsidR="006F20F4" w:rsidRPr="00AA70DA" w:rsidRDefault="006F20F4">
      <w:pPr>
        <w:rPr>
          <w:b/>
        </w:rPr>
      </w:pPr>
      <w:r w:rsidRPr="0007798E">
        <w:rPr>
          <w:b/>
        </w:rPr>
        <w:t xml:space="preserve">Tuition </w:t>
      </w:r>
      <w:r w:rsidR="00422B6C" w:rsidRPr="0007798E">
        <w:rPr>
          <w:b/>
        </w:rPr>
        <w:t xml:space="preserve">and fees </w:t>
      </w:r>
      <w:r w:rsidRPr="0007798E">
        <w:rPr>
          <w:b/>
        </w:rPr>
        <w:t xml:space="preserve">charged by peer institutions </w:t>
      </w:r>
      <w:proofErr w:type="gramStart"/>
      <w:r w:rsidRPr="0007798E">
        <w:rPr>
          <w:b/>
        </w:rPr>
        <w:t xml:space="preserve">for </w:t>
      </w:r>
      <w:r w:rsidR="00422B6C" w:rsidRPr="0007798E">
        <w:rPr>
          <w:b/>
        </w:rPr>
        <w:t xml:space="preserve"> </w:t>
      </w:r>
      <w:r w:rsidR="00597A86" w:rsidRPr="0007798E">
        <w:rPr>
          <w:b/>
        </w:rPr>
        <w:t>M</w:t>
      </w:r>
      <w:r w:rsidRPr="0007798E">
        <w:rPr>
          <w:b/>
        </w:rPr>
        <w:t>asters</w:t>
      </w:r>
      <w:proofErr w:type="gramEnd"/>
      <w:r w:rsidRPr="0007798E">
        <w:rPr>
          <w:b/>
        </w:rPr>
        <w:t xml:space="preserve"> degrees</w:t>
      </w:r>
      <w:r w:rsidR="00175AB1" w:rsidRPr="0007798E">
        <w:rPr>
          <w:b/>
        </w:rPr>
        <w:t xml:space="preserve">, 1 semester, </w:t>
      </w:r>
      <w:r w:rsidR="00422B6C" w:rsidRPr="0007798E">
        <w:rPr>
          <w:b/>
        </w:rPr>
        <w:t xml:space="preserve"> full-time (9 credits)</w:t>
      </w:r>
    </w:p>
    <w:p w14:paraId="1FFA1624" w14:textId="77777777" w:rsidR="00175AB1" w:rsidRDefault="00175AB1"/>
    <w:p w14:paraId="4CA98009" w14:textId="339CCDF9" w:rsidR="00175AB1" w:rsidRDefault="00E05CF5">
      <w:r>
        <w:t>(</w:t>
      </w:r>
      <w:proofErr w:type="gramStart"/>
      <w:r w:rsidR="00175AB1">
        <w:t>sorted</w:t>
      </w:r>
      <w:proofErr w:type="gramEnd"/>
      <w:r w:rsidR="00175AB1">
        <w:t xml:space="preserve"> by decreasing order of </w:t>
      </w:r>
      <w:r w:rsidR="0054709E">
        <w:t>resident</w:t>
      </w:r>
      <w:r w:rsidR="00175AB1">
        <w:t xml:space="preserve"> tuition</w:t>
      </w:r>
      <w:r>
        <w:t>)</w:t>
      </w:r>
    </w:p>
    <w:p w14:paraId="668949C2" w14:textId="77777777" w:rsidR="00175AB1" w:rsidRDefault="00175AB1"/>
    <w:tbl>
      <w:tblPr>
        <w:tblW w:w="3840" w:type="dxa"/>
        <w:tblInd w:w="93" w:type="dxa"/>
        <w:tblLook w:val="04A0" w:firstRow="1" w:lastRow="0" w:firstColumn="1" w:lastColumn="0" w:noHBand="0" w:noVBand="1"/>
      </w:tblPr>
      <w:tblGrid>
        <w:gridCol w:w="2380"/>
        <w:gridCol w:w="1460"/>
      </w:tblGrid>
      <w:tr w:rsidR="002C6E0B" w:rsidRPr="00066142" w14:paraId="2AECF516" w14:textId="77777777" w:rsidTr="002C6E0B">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F8DD34" w14:textId="77777777" w:rsidR="002C6E0B" w:rsidRPr="00066142" w:rsidRDefault="002C6E0B" w:rsidP="007438E9">
            <w:pPr>
              <w:rPr>
                <w:rFonts w:ascii="Calibri" w:eastAsia="Times New Roman" w:hAnsi="Calibri" w:cs="Times New Roman"/>
                <w:b/>
                <w:bCs/>
              </w:rPr>
            </w:pPr>
            <w:r w:rsidRPr="00066142">
              <w:rPr>
                <w:rFonts w:ascii="Calibri" w:eastAsia="Times New Roman" w:hAnsi="Calibri" w:cs="Times New Roman"/>
                <w:b/>
                <w:bCs/>
              </w:rPr>
              <w:t>University</w:t>
            </w:r>
          </w:p>
        </w:tc>
        <w:tc>
          <w:tcPr>
            <w:tcW w:w="1460" w:type="dxa"/>
            <w:tcBorders>
              <w:top w:val="single" w:sz="4" w:space="0" w:color="auto"/>
              <w:left w:val="nil"/>
              <w:bottom w:val="single" w:sz="4" w:space="0" w:color="auto"/>
              <w:right w:val="single" w:sz="4" w:space="0" w:color="auto"/>
            </w:tcBorders>
            <w:shd w:val="clear" w:color="000000" w:fill="D9D9D9"/>
            <w:noWrap/>
            <w:vAlign w:val="bottom"/>
            <w:hideMark/>
          </w:tcPr>
          <w:p w14:paraId="57ED49CE" w14:textId="77777777" w:rsidR="002C6E0B" w:rsidRPr="00066142" w:rsidRDefault="002C6E0B" w:rsidP="007438E9">
            <w:pPr>
              <w:rPr>
                <w:rFonts w:ascii="Calibri" w:eastAsia="Times New Roman" w:hAnsi="Calibri" w:cs="Times New Roman"/>
                <w:b/>
                <w:bCs/>
              </w:rPr>
            </w:pPr>
            <w:r w:rsidRPr="00066142">
              <w:rPr>
                <w:rFonts w:ascii="Calibri" w:eastAsia="Times New Roman" w:hAnsi="Calibri" w:cs="Times New Roman"/>
                <w:b/>
                <w:bCs/>
              </w:rPr>
              <w:t>Resident</w:t>
            </w:r>
          </w:p>
        </w:tc>
      </w:tr>
      <w:tr w:rsidR="0007798E" w:rsidRPr="00066142" w14:paraId="304A73E9"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11AF5280" w14:textId="26A9BC80" w:rsidR="0007798E" w:rsidRPr="00066142" w:rsidRDefault="0007798E" w:rsidP="00E05CF5">
            <w:pPr>
              <w:rPr>
                <w:rFonts w:ascii="Calibri" w:eastAsia="Times New Roman" w:hAnsi="Calibri" w:cs="Times New Roman"/>
              </w:rPr>
            </w:pPr>
            <w:r>
              <w:rPr>
                <w:rFonts w:ascii="Calibri" w:eastAsia="Times New Roman" w:hAnsi="Calibri" w:cs="Times New Roman"/>
              </w:rPr>
              <w:t>Rutgers U.</w:t>
            </w:r>
          </w:p>
        </w:tc>
        <w:tc>
          <w:tcPr>
            <w:tcW w:w="1460" w:type="dxa"/>
            <w:tcBorders>
              <w:top w:val="nil"/>
              <w:left w:val="nil"/>
              <w:bottom w:val="single" w:sz="4" w:space="0" w:color="auto"/>
              <w:right w:val="single" w:sz="4" w:space="0" w:color="auto"/>
            </w:tcBorders>
            <w:shd w:val="clear" w:color="auto" w:fill="auto"/>
            <w:noWrap/>
            <w:vAlign w:val="bottom"/>
          </w:tcPr>
          <w:p w14:paraId="0DFCA4C9" w14:textId="58B138B0" w:rsidR="0007798E" w:rsidRDefault="0007798E" w:rsidP="00E05CF5">
            <w:pPr>
              <w:jc w:val="right"/>
              <w:rPr>
                <w:rFonts w:ascii="Calibri" w:eastAsia="Times New Roman" w:hAnsi="Calibri" w:cs="Times New Roman"/>
              </w:rPr>
            </w:pPr>
            <w:r>
              <w:rPr>
                <w:rFonts w:ascii="Calibri" w:eastAsia="Times New Roman" w:hAnsi="Calibri" w:cs="Times New Roman"/>
              </w:rPr>
              <w:t>$13,543</w:t>
            </w:r>
          </w:p>
        </w:tc>
      </w:tr>
      <w:tr w:rsidR="0007798E" w:rsidRPr="00066142" w14:paraId="0B0F8FDA"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5C02BE4" w14:textId="77777777" w:rsidR="0007798E" w:rsidRPr="00066142" w:rsidRDefault="0007798E" w:rsidP="00E05CF5">
            <w:pPr>
              <w:rPr>
                <w:rFonts w:ascii="Calibri" w:eastAsia="Times New Roman" w:hAnsi="Calibri" w:cs="Times New Roman"/>
              </w:rPr>
            </w:pPr>
            <w:r w:rsidRPr="00066142">
              <w:rPr>
                <w:rFonts w:ascii="Calibri" w:eastAsia="Times New Roman" w:hAnsi="Calibri" w:cs="Times New Roman"/>
              </w:rPr>
              <w:t>Penn State</w:t>
            </w:r>
          </w:p>
        </w:tc>
        <w:tc>
          <w:tcPr>
            <w:tcW w:w="1460" w:type="dxa"/>
            <w:tcBorders>
              <w:top w:val="nil"/>
              <w:left w:val="nil"/>
              <w:bottom w:val="single" w:sz="4" w:space="0" w:color="auto"/>
              <w:right w:val="single" w:sz="4" w:space="0" w:color="auto"/>
            </w:tcBorders>
            <w:shd w:val="clear" w:color="auto" w:fill="auto"/>
            <w:noWrap/>
            <w:vAlign w:val="bottom"/>
            <w:hideMark/>
          </w:tcPr>
          <w:p w14:paraId="58608D0A" w14:textId="6D851D88" w:rsidR="0007798E" w:rsidRPr="00066142" w:rsidRDefault="0007798E" w:rsidP="00E05CF5">
            <w:pPr>
              <w:jc w:val="right"/>
              <w:rPr>
                <w:rFonts w:ascii="Calibri" w:eastAsia="Times New Roman" w:hAnsi="Calibri" w:cs="Times New Roman"/>
              </w:rPr>
            </w:pPr>
            <w:r>
              <w:rPr>
                <w:rFonts w:ascii="Calibri" w:eastAsia="Times New Roman" w:hAnsi="Calibri" w:cs="Times New Roman"/>
              </w:rPr>
              <w:t>$11,121</w:t>
            </w:r>
          </w:p>
        </w:tc>
      </w:tr>
      <w:tr w:rsidR="0007798E" w:rsidRPr="00066142" w14:paraId="2A35A905"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F0E6227" w14:textId="77777777" w:rsidR="0007798E" w:rsidRPr="00066142" w:rsidRDefault="0007798E" w:rsidP="007438E9">
            <w:pPr>
              <w:rPr>
                <w:rFonts w:ascii="Calibri" w:eastAsia="Times New Roman" w:hAnsi="Calibri" w:cs="Times New Roman"/>
              </w:rPr>
            </w:pPr>
            <w:r w:rsidRPr="00066142">
              <w:rPr>
                <w:rFonts w:ascii="Calibri" w:eastAsia="Times New Roman" w:hAnsi="Calibri" w:cs="Times New Roman"/>
              </w:rPr>
              <w:t>UIUC</w:t>
            </w:r>
          </w:p>
        </w:tc>
        <w:tc>
          <w:tcPr>
            <w:tcW w:w="1460" w:type="dxa"/>
            <w:tcBorders>
              <w:top w:val="nil"/>
              <w:left w:val="nil"/>
              <w:bottom w:val="single" w:sz="4" w:space="0" w:color="auto"/>
              <w:right w:val="single" w:sz="4" w:space="0" w:color="auto"/>
            </w:tcBorders>
            <w:shd w:val="clear" w:color="auto" w:fill="auto"/>
            <w:noWrap/>
            <w:vAlign w:val="bottom"/>
            <w:hideMark/>
          </w:tcPr>
          <w:p w14:paraId="15D868B5" w14:textId="7FAE71CA" w:rsidR="0007798E" w:rsidRPr="00066142" w:rsidRDefault="0007798E" w:rsidP="007438E9">
            <w:pPr>
              <w:jc w:val="right"/>
              <w:rPr>
                <w:rFonts w:ascii="Calibri" w:eastAsia="Times New Roman" w:hAnsi="Calibri" w:cs="Times New Roman"/>
              </w:rPr>
            </w:pPr>
            <w:r>
              <w:rPr>
                <w:rFonts w:ascii="Calibri" w:eastAsia="Times New Roman" w:hAnsi="Calibri" w:cs="Times New Roman"/>
              </w:rPr>
              <w:t>$10,837</w:t>
            </w:r>
          </w:p>
        </w:tc>
      </w:tr>
      <w:tr w:rsidR="0007798E" w:rsidRPr="00066142" w14:paraId="1EFA0110"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67A1E04F" w14:textId="4E621329" w:rsidR="0007798E" w:rsidRPr="0007798E" w:rsidRDefault="0007798E" w:rsidP="007438E9">
            <w:pPr>
              <w:rPr>
                <w:rFonts w:ascii="Calibri" w:eastAsia="Times New Roman" w:hAnsi="Calibri" w:cs="Times New Roman"/>
                <w:bCs/>
              </w:rPr>
            </w:pPr>
            <w:r w:rsidRPr="0007798E">
              <w:rPr>
                <w:rFonts w:ascii="Calibri" w:eastAsia="Times New Roman" w:hAnsi="Calibri" w:cs="Times New Roman"/>
                <w:b/>
                <w:bCs/>
              </w:rPr>
              <w:t>N.C. State-proposed</w:t>
            </w:r>
          </w:p>
        </w:tc>
        <w:tc>
          <w:tcPr>
            <w:tcW w:w="1460" w:type="dxa"/>
            <w:tcBorders>
              <w:top w:val="nil"/>
              <w:left w:val="nil"/>
              <w:bottom w:val="single" w:sz="4" w:space="0" w:color="auto"/>
              <w:right w:val="single" w:sz="4" w:space="0" w:color="auto"/>
            </w:tcBorders>
            <w:shd w:val="clear" w:color="auto" w:fill="auto"/>
            <w:noWrap/>
            <w:vAlign w:val="bottom"/>
          </w:tcPr>
          <w:p w14:paraId="48271914" w14:textId="2385F5B2" w:rsidR="0007798E" w:rsidRDefault="0007798E" w:rsidP="00C230FA">
            <w:pPr>
              <w:jc w:val="right"/>
              <w:rPr>
                <w:rFonts w:ascii="Calibri" w:eastAsia="Times New Roman" w:hAnsi="Calibri" w:cs="Times New Roman"/>
              </w:rPr>
            </w:pPr>
            <w:r>
              <w:rPr>
                <w:rFonts w:ascii="Calibri" w:eastAsia="Times New Roman" w:hAnsi="Calibri" w:cs="Times New Roman"/>
                <w:b/>
                <w:u w:val="single"/>
              </w:rPr>
              <w:t>$</w:t>
            </w:r>
            <w:r w:rsidRPr="00FB06E6">
              <w:rPr>
                <w:b/>
              </w:rPr>
              <w:t>8,886</w:t>
            </w:r>
          </w:p>
        </w:tc>
      </w:tr>
      <w:tr w:rsidR="0007798E" w:rsidRPr="00066142" w14:paraId="79C03D93"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780792C2" w14:textId="77777777" w:rsidR="0007798E" w:rsidRPr="00066142" w:rsidRDefault="0007798E" w:rsidP="007438E9">
            <w:pPr>
              <w:rPr>
                <w:rFonts w:ascii="Calibri" w:eastAsia="Times New Roman" w:hAnsi="Calibri" w:cs="Times New Roman"/>
              </w:rPr>
            </w:pPr>
            <w:r>
              <w:rPr>
                <w:rFonts w:ascii="Calibri" w:eastAsia="Times New Roman" w:hAnsi="Calibri" w:cs="Times New Roman"/>
              </w:rPr>
              <w:t>Univ. of Minnesota</w:t>
            </w:r>
          </w:p>
        </w:tc>
        <w:tc>
          <w:tcPr>
            <w:tcW w:w="1460" w:type="dxa"/>
            <w:tcBorders>
              <w:top w:val="nil"/>
              <w:left w:val="nil"/>
              <w:bottom w:val="single" w:sz="4" w:space="0" w:color="auto"/>
              <w:right w:val="single" w:sz="4" w:space="0" w:color="auto"/>
            </w:tcBorders>
            <w:shd w:val="clear" w:color="auto" w:fill="auto"/>
            <w:noWrap/>
            <w:vAlign w:val="bottom"/>
          </w:tcPr>
          <w:p w14:paraId="55961569" w14:textId="485A1E08" w:rsidR="0007798E" w:rsidRDefault="0007798E" w:rsidP="007F66F9">
            <w:pPr>
              <w:jc w:val="right"/>
              <w:rPr>
                <w:rFonts w:ascii="Calibri" w:eastAsia="Times New Roman" w:hAnsi="Calibri" w:cs="Times New Roman"/>
              </w:rPr>
            </w:pPr>
            <w:r>
              <w:rPr>
                <w:rFonts w:ascii="Calibri" w:eastAsia="Times New Roman" w:hAnsi="Calibri" w:cs="Times New Roman"/>
              </w:rPr>
              <w:t>$8,667</w:t>
            </w:r>
          </w:p>
        </w:tc>
      </w:tr>
      <w:tr w:rsidR="0007798E" w:rsidRPr="00066142" w14:paraId="25D8801C" w14:textId="77777777" w:rsidTr="002C6E0B">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F0727D6" w14:textId="10727602" w:rsidR="0007798E" w:rsidRPr="0007798E" w:rsidRDefault="0007798E" w:rsidP="00E05CF5">
            <w:pPr>
              <w:rPr>
                <w:rFonts w:ascii="Calibri" w:eastAsia="Times New Roman" w:hAnsi="Calibri" w:cs="Times New Roman"/>
                <w:bCs/>
              </w:rPr>
            </w:pPr>
            <w:r w:rsidRPr="0007798E">
              <w:rPr>
                <w:rFonts w:ascii="Calibri" w:eastAsia="Times New Roman" w:hAnsi="Calibri" w:cs="Times New Roman"/>
                <w:b/>
                <w:bCs/>
              </w:rPr>
              <w:t>N.C. State-present</w:t>
            </w:r>
          </w:p>
        </w:tc>
        <w:tc>
          <w:tcPr>
            <w:tcW w:w="1460" w:type="dxa"/>
            <w:tcBorders>
              <w:top w:val="single" w:sz="4" w:space="0" w:color="auto"/>
              <w:left w:val="nil"/>
              <w:bottom w:val="single" w:sz="4" w:space="0" w:color="auto"/>
              <w:right w:val="single" w:sz="4" w:space="0" w:color="auto"/>
            </w:tcBorders>
            <w:shd w:val="clear" w:color="000000" w:fill="auto"/>
            <w:noWrap/>
            <w:vAlign w:val="bottom"/>
          </w:tcPr>
          <w:p w14:paraId="30902B43" w14:textId="1225E001" w:rsidR="0007798E" w:rsidRDefault="0007798E" w:rsidP="00F005FD">
            <w:pPr>
              <w:jc w:val="right"/>
              <w:rPr>
                <w:rFonts w:ascii="Calibri" w:eastAsia="Times New Roman" w:hAnsi="Calibri" w:cs="Times New Roman"/>
              </w:rPr>
            </w:pPr>
            <w:r>
              <w:rPr>
                <w:rFonts w:ascii="Calibri" w:eastAsia="Times New Roman" w:hAnsi="Calibri" w:cs="Times New Roman"/>
                <w:b/>
                <w:u w:val="single"/>
              </w:rPr>
              <w:t>$</w:t>
            </w:r>
            <w:r w:rsidRPr="00FB06E6">
              <w:rPr>
                <w:b/>
              </w:rPr>
              <w:t>8,186</w:t>
            </w:r>
          </w:p>
        </w:tc>
      </w:tr>
      <w:tr w:rsidR="0007798E" w:rsidRPr="002B110B" w14:paraId="0B4D7D38" w14:textId="77777777" w:rsidTr="0007798E">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9E4CBC6" w14:textId="6E0735B7" w:rsidR="0007798E" w:rsidRPr="00066142" w:rsidRDefault="0007798E" w:rsidP="00E05CF5">
            <w:pPr>
              <w:rPr>
                <w:rFonts w:ascii="Calibri" w:eastAsia="Times New Roman" w:hAnsi="Calibri" w:cs="Times New Roman"/>
              </w:rPr>
            </w:pPr>
            <w:r w:rsidRPr="00066142">
              <w:rPr>
                <w:rFonts w:ascii="Calibri" w:eastAsia="Times New Roman" w:hAnsi="Calibri" w:cs="Times New Roman"/>
              </w:rPr>
              <w:t>Georgia Tech</w:t>
            </w:r>
          </w:p>
        </w:tc>
        <w:tc>
          <w:tcPr>
            <w:tcW w:w="1460" w:type="dxa"/>
            <w:tcBorders>
              <w:top w:val="single" w:sz="4" w:space="0" w:color="auto"/>
              <w:left w:val="nil"/>
              <w:bottom w:val="single" w:sz="4" w:space="0" w:color="auto"/>
              <w:right w:val="single" w:sz="4" w:space="0" w:color="auto"/>
            </w:tcBorders>
            <w:shd w:val="clear" w:color="000000" w:fill="auto"/>
            <w:noWrap/>
            <w:vAlign w:val="bottom"/>
          </w:tcPr>
          <w:p w14:paraId="496A3A5A" w14:textId="25A4A1B2" w:rsidR="0007798E" w:rsidRDefault="0007798E" w:rsidP="00E05CF5">
            <w:pPr>
              <w:jc w:val="right"/>
              <w:rPr>
                <w:rFonts w:ascii="Calibri" w:eastAsia="Times New Roman" w:hAnsi="Calibri" w:cs="Times New Roman"/>
              </w:rPr>
            </w:pPr>
            <w:r>
              <w:rPr>
                <w:rFonts w:ascii="Calibri" w:eastAsia="Times New Roman" w:hAnsi="Calibri" w:cs="Times New Roman"/>
              </w:rPr>
              <w:t>$7,826</w:t>
            </w:r>
          </w:p>
        </w:tc>
      </w:tr>
      <w:tr w:rsidR="0007798E" w:rsidRPr="002B110B" w14:paraId="7E8720E5" w14:textId="77777777" w:rsidTr="0007798E">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A86B77C" w14:textId="158B3FEF" w:rsidR="0007798E" w:rsidRDefault="0007798E" w:rsidP="00E05CF5">
            <w:pPr>
              <w:rPr>
                <w:rFonts w:ascii="Calibri" w:eastAsia="Times New Roman" w:hAnsi="Calibri" w:cs="Times New Roman"/>
              </w:rPr>
            </w:pPr>
            <w:r w:rsidRPr="00066142">
              <w:rPr>
                <w:rFonts w:ascii="Calibri" w:eastAsia="Times New Roman" w:hAnsi="Calibri" w:cs="Times New Roman"/>
              </w:rPr>
              <w:t>Virginia Tech</w:t>
            </w:r>
          </w:p>
        </w:tc>
        <w:tc>
          <w:tcPr>
            <w:tcW w:w="1460" w:type="dxa"/>
            <w:tcBorders>
              <w:top w:val="single" w:sz="4" w:space="0" w:color="auto"/>
              <w:left w:val="nil"/>
              <w:bottom w:val="single" w:sz="4" w:space="0" w:color="auto"/>
              <w:right w:val="single" w:sz="4" w:space="0" w:color="auto"/>
            </w:tcBorders>
            <w:shd w:val="clear" w:color="000000" w:fill="auto"/>
            <w:noWrap/>
            <w:vAlign w:val="bottom"/>
          </w:tcPr>
          <w:p w14:paraId="0D39D403" w14:textId="1A206E92" w:rsidR="0007798E" w:rsidRDefault="0007798E" w:rsidP="00E05CF5">
            <w:pPr>
              <w:jc w:val="right"/>
              <w:rPr>
                <w:rFonts w:ascii="Calibri" w:eastAsia="Times New Roman" w:hAnsi="Calibri" w:cs="Times New Roman"/>
              </w:rPr>
            </w:pPr>
            <w:r>
              <w:rPr>
                <w:rFonts w:ascii="Calibri" w:eastAsia="Times New Roman" w:hAnsi="Calibri" w:cs="Times New Roman"/>
              </w:rPr>
              <w:t>$7,791</w:t>
            </w:r>
          </w:p>
        </w:tc>
      </w:tr>
      <w:tr w:rsidR="0007798E" w:rsidRPr="002B110B" w14:paraId="7994E32F" w14:textId="77777777" w:rsidTr="0007798E">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DB772AF" w14:textId="34EBB1B0" w:rsidR="0007798E" w:rsidRPr="002B110B" w:rsidRDefault="0007798E" w:rsidP="00E05CF5">
            <w:pPr>
              <w:rPr>
                <w:rFonts w:ascii="Calibri" w:eastAsia="Times New Roman" w:hAnsi="Calibri" w:cs="Times New Roman"/>
                <w:b/>
                <w:u w:val="single"/>
              </w:rPr>
            </w:pPr>
            <w:r>
              <w:rPr>
                <w:rFonts w:ascii="Calibri" w:eastAsia="Times New Roman" w:hAnsi="Calibri" w:cs="Times New Roman"/>
              </w:rPr>
              <w:t>Michigan State Univ.</w:t>
            </w:r>
          </w:p>
        </w:tc>
        <w:tc>
          <w:tcPr>
            <w:tcW w:w="1460" w:type="dxa"/>
            <w:tcBorders>
              <w:top w:val="single" w:sz="4" w:space="0" w:color="auto"/>
              <w:left w:val="nil"/>
              <w:bottom w:val="single" w:sz="4" w:space="0" w:color="auto"/>
              <w:right w:val="single" w:sz="4" w:space="0" w:color="auto"/>
            </w:tcBorders>
            <w:shd w:val="clear" w:color="000000" w:fill="auto"/>
            <w:noWrap/>
            <w:vAlign w:val="bottom"/>
          </w:tcPr>
          <w:p w14:paraId="01B78C7A" w14:textId="510C794A" w:rsidR="0007798E" w:rsidRPr="002B110B" w:rsidRDefault="0007798E" w:rsidP="00E05CF5">
            <w:pPr>
              <w:jc w:val="right"/>
              <w:rPr>
                <w:rFonts w:ascii="Calibri" w:eastAsia="Times New Roman" w:hAnsi="Calibri" w:cs="Times New Roman"/>
                <w:b/>
                <w:u w:val="single"/>
              </w:rPr>
            </w:pPr>
            <w:r>
              <w:rPr>
                <w:rFonts w:ascii="Calibri" w:eastAsia="Times New Roman" w:hAnsi="Calibri" w:cs="Times New Roman"/>
              </w:rPr>
              <w:t>$6,995</w:t>
            </w:r>
          </w:p>
        </w:tc>
      </w:tr>
      <w:tr w:rsidR="0007798E" w:rsidRPr="00066142" w14:paraId="6495C992" w14:textId="77777777" w:rsidTr="0007798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5FDC6B20" w14:textId="19947078" w:rsidR="0007798E" w:rsidRPr="00066142" w:rsidRDefault="0007798E" w:rsidP="009D1B40">
            <w:pPr>
              <w:rPr>
                <w:rFonts w:ascii="Calibri" w:eastAsia="Times New Roman" w:hAnsi="Calibri" w:cs="Times New Roman"/>
              </w:rPr>
            </w:pPr>
            <w:r w:rsidRPr="00066142">
              <w:rPr>
                <w:rFonts w:ascii="Calibri" w:eastAsia="Times New Roman" w:hAnsi="Calibri" w:cs="Times New Roman"/>
              </w:rPr>
              <w:t>Univ. of Maryland</w:t>
            </w:r>
          </w:p>
        </w:tc>
        <w:tc>
          <w:tcPr>
            <w:tcW w:w="1460" w:type="dxa"/>
            <w:tcBorders>
              <w:top w:val="nil"/>
              <w:left w:val="nil"/>
              <w:bottom w:val="single" w:sz="4" w:space="0" w:color="auto"/>
              <w:right w:val="single" w:sz="4" w:space="0" w:color="auto"/>
            </w:tcBorders>
            <w:shd w:val="clear" w:color="auto" w:fill="auto"/>
            <w:noWrap/>
            <w:vAlign w:val="bottom"/>
          </w:tcPr>
          <w:p w14:paraId="26068E82" w14:textId="6EAB7A91" w:rsidR="0007798E" w:rsidRPr="00066142" w:rsidRDefault="0007798E" w:rsidP="004A5B2C">
            <w:pPr>
              <w:jc w:val="right"/>
              <w:rPr>
                <w:rFonts w:ascii="Calibri" w:eastAsia="Times New Roman" w:hAnsi="Calibri" w:cs="Times New Roman"/>
              </w:rPr>
            </w:pPr>
            <w:r>
              <w:rPr>
                <w:rFonts w:ascii="Calibri" w:eastAsia="Times New Roman" w:hAnsi="Calibri" w:cs="Times New Roman"/>
              </w:rPr>
              <w:t>$6,628</w:t>
            </w:r>
          </w:p>
        </w:tc>
      </w:tr>
      <w:tr w:rsidR="0007798E" w:rsidRPr="00066142" w14:paraId="3583104C" w14:textId="77777777" w:rsidTr="0007798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6162D6A8" w14:textId="411DC3CB" w:rsidR="0007798E" w:rsidRPr="00066142" w:rsidRDefault="0007798E" w:rsidP="009D1B40">
            <w:pPr>
              <w:rPr>
                <w:rFonts w:ascii="Calibri" w:eastAsia="Times New Roman" w:hAnsi="Calibri" w:cs="Times New Roman"/>
              </w:rPr>
            </w:pPr>
            <w:r w:rsidRPr="00066142">
              <w:rPr>
                <w:rFonts w:ascii="Calibri" w:eastAsia="Times New Roman" w:hAnsi="Calibri" w:cs="Times New Roman"/>
              </w:rPr>
              <w:t>Ohio State</w:t>
            </w:r>
          </w:p>
        </w:tc>
        <w:tc>
          <w:tcPr>
            <w:tcW w:w="1460" w:type="dxa"/>
            <w:tcBorders>
              <w:top w:val="nil"/>
              <w:left w:val="nil"/>
              <w:bottom w:val="single" w:sz="4" w:space="0" w:color="auto"/>
              <w:right w:val="single" w:sz="4" w:space="0" w:color="auto"/>
            </w:tcBorders>
            <w:shd w:val="clear" w:color="auto" w:fill="auto"/>
            <w:noWrap/>
            <w:vAlign w:val="bottom"/>
          </w:tcPr>
          <w:p w14:paraId="27D1C519" w14:textId="2DED1FBC" w:rsidR="0007798E" w:rsidRPr="00066142" w:rsidRDefault="0007798E" w:rsidP="009D1B40">
            <w:pPr>
              <w:jc w:val="right"/>
              <w:rPr>
                <w:rFonts w:ascii="Calibri" w:eastAsia="Times New Roman" w:hAnsi="Calibri" w:cs="Times New Roman"/>
              </w:rPr>
            </w:pPr>
            <w:r>
              <w:rPr>
                <w:rFonts w:ascii="Calibri" w:eastAsia="Times New Roman" w:hAnsi="Calibri" w:cs="Times New Roman"/>
              </w:rPr>
              <w:t>$6,467</w:t>
            </w:r>
          </w:p>
        </w:tc>
      </w:tr>
      <w:tr w:rsidR="0007798E" w:rsidRPr="00066142" w14:paraId="100E47DE"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001500A4" w14:textId="4D876C26" w:rsidR="0007798E" w:rsidRPr="00066142" w:rsidRDefault="0007798E" w:rsidP="009D1B40">
            <w:pPr>
              <w:rPr>
                <w:rFonts w:ascii="Calibri" w:eastAsia="Times New Roman" w:hAnsi="Calibri" w:cs="Times New Roman"/>
              </w:rPr>
            </w:pPr>
            <w:r>
              <w:rPr>
                <w:rFonts w:ascii="Calibri" w:eastAsia="Times New Roman" w:hAnsi="Calibri" w:cs="Times New Roman"/>
              </w:rPr>
              <w:t>Univ. of Washington</w:t>
            </w:r>
          </w:p>
        </w:tc>
        <w:tc>
          <w:tcPr>
            <w:tcW w:w="1460" w:type="dxa"/>
            <w:tcBorders>
              <w:top w:val="nil"/>
              <w:left w:val="nil"/>
              <w:bottom w:val="single" w:sz="4" w:space="0" w:color="auto"/>
              <w:right w:val="single" w:sz="4" w:space="0" w:color="auto"/>
            </w:tcBorders>
            <w:shd w:val="clear" w:color="auto" w:fill="auto"/>
            <w:noWrap/>
            <w:vAlign w:val="bottom"/>
          </w:tcPr>
          <w:p w14:paraId="40C63C90" w14:textId="5F4CC458" w:rsidR="0007798E" w:rsidRDefault="0007798E" w:rsidP="00556136">
            <w:pPr>
              <w:jc w:val="right"/>
              <w:rPr>
                <w:rFonts w:ascii="Calibri" w:eastAsia="Times New Roman" w:hAnsi="Calibri" w:cs="Times New Roman"/>
              </w:rPr>
            </w:pPr>
            <w:r>
              <w:rPr>
                <w:rFonts w:ascii="Calibri" w:eastAsia="Times New Roman" w:hAnsi="Calibri" w:cs="Times New Roman"/>
              </w:rPr>
              <w:t>$5,992</w:t>
            </w:r>
          </w:p>
        </w:tc>
      </w:tr>
      <w:tr w:rsidR="0007798E" w:rsidRPr="00066142" w14:paraId="47A47392" w14:textId="77777777" w:rsidTr="0007798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0EE7D1D0" w14:textId="23C50D16" w:rsidR="0007798E" w:rsidRPr="00066142" w:rsidRDefault="0007798E" w:rsidP="009D1B40">
            <w:pPr>
              <w:rPr>
                <w:rFonts w:ascii="Calibri" w:eastAsia="Times New Roman" w:hAnsi="Calibri" w:cs="Times New Roman"/>
              </w:rPr>
            </w:pPr>
            <w:r>
              <w:rPr>
                <w:rFonts w:ascii="Calibri" w:eastAsia="Times New Roman" w:hAnsi="Calibri" w:cs="Times New Roman"/>
              </w:rPr>
              <w:t>Univ. of Wisconsin</w:t>
            </w:r>
          </w:p>
        </w:tc>
        <w:tc>
          <w:tcPr>
            <w:tcW w:w="1460" w:type="dxa"/>
            <w:tcBorders>
              <w:top w:val="nil"/>
              <w:left w:val="nil"/>
              <w:bottom w:val="single" w:sz="4" w:space="0" w:color="auto"/>
              <w:right w:val="single" w:sz="4" w:space="0" w:color="auto"/>
            </w:tcBorders>
            <w:shd w:val="clear" w:color="auto" w:fill="auto"/>
            <w:noWrap/>
            <w:vAlign w:val="bottom"/>
          </w:tcPr>
          <w:p w14:paraId="6E68DAF2" w14:textId="5993C774" w:rsidR="0007798E" w:rsidRPr="00066142" w:rsidRDefault="0007798E" w:rsidP="00F005FD">
            <w:pPr>
              <w:jc w:val="right"/>
              <w:rPr>
                <w:rFonts w:ascii="Calibri" w:eastAsia="Times New Roman" w:hAnsi="Calibri" w:cs="Times New Roman"/>
              </w:rPr>
            </w:pPr>
            <w:r>
              <w:rPr>
                <w:rFonts w:ascii="Calibri" w:eastAsia="Times New Roman" w:hAnsi="Calibri" w:cs="Times New Roman"/>
              </w:rPr>
              <w:t>$5,971</w:t>
            </w:r>
          </w:p>
        </w:tc>
      </w:tr>
      <w:tr w:rsidR="0007798E" w:rsidRPr="00066142" w14:paraId="7988BD2E" w14:textId="77777777" w:rsidTr="0007798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0AF2730C" w14:textId="61BCB92D" w:rsidR="0007798E" w:rsidRPr="00066142" w:rsidRDefault="0007798E" w:rsidP="009D1B40">
            <w:pPr>
              <w:rPr>
                <w:rFonts w:ascii="Calibri" w:eastAsia="Times New Roman" w:hAnsi="Calibri" w:cs="Times New Roman"/>
              </w:rPr>
            </w:pPr>
            <w:r w:rsidRPr="00066142">
              <w:rPr>
                <w:rFonts w:ascii="Calibri" w:eastAsia="Times New Roman" w:hAnsi="Calibri" w:cs="Times New Roman"/>
              </w:rPr>
              <w:t>Purdue</w:t>
            </w:r>
          </w:p>
        </w:tc>
        <w:tc>
          <w:tcPr>
            <w:tcW w:w="1460" w:type="dxa"/>
            <w:tcBorders>
              <w:top w:val="nil"/>
              <w:left w:val="nil"/>
              <w:bottom w:val="single" w:sz="4" w:space="0" w:color="auto"/>
              <w:right w:val="single" w:sz="4" w:space="0" w:color="auto"/>
            </w:tcBorders>
            <w:shd w:val="clear" w:color="auto" w:fill="auto"/>
            <w:noWrap/>
            <w:vAlign w:val="bottom"/>
          </w:tcPr>
          <w:p w14:paraId="12344005" w14:textId="2018EE9B" w:rsidR="0007798E" w:rsidRPr="00066142" w:rsidRDefault="0007798E" w:rsidP="006E56A1">
            <w:pPr>
              <w:jc w:val="right"/>
              <w:rPr>
                <w:rFonts w:ascii="Calibri" w:eastAsia="Times New Roman" w:hAnsi="Calibri" w:cs="Times New Roman"/>
              </w:rPr>
            </w:pPr>
            <w:r>
              <w:rPr>
                <w:rFonts w:ascii="Calibri" w:eastAsia="Times New Roman" w:hAnsi="Calibri" w:cs="Times New Roman"/>
              </w:rPr>
              <w:t>$5,563</w:t>
            </w:r>
          </w:p>
        </w:tc>
      </w:tr>
      <w:tr w:rsidR="0007798E" w:rsidRPr="00066142" w14:paraId="001B6E93"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0DCE84DA" w14:textId="555C290D" w:rsidR="0007798E" w:rsidRPr="00066142" w:rsidRDefault="0007798E" w:rsidP="009D1B40">
            <w:pPr>
              <w:rPr>
                <w:rFonts w:ascii="Calibri" w:eastAsia="Times New Roman" w:hAnsi="Calibri" w:cs="Times New Roman"/>
              </w:rPr>
            </w:pPr>
            <w:r w:rsidRPr="00066142">
              <w:rPr>
                <w:rFonts w:ascii="Calibri" w:eastAsia="Times New Roman" w:hAnsi="Calibri" w:cs="Times New Roman"/>
              </w:rPr>
              <w:t>UT-Austin</w:t>
            </w:r>
          </w:p>
        </w:tc>
        <w:tc>
          <w:tcPr>
            <w:tcW w:w="1460" w:type="dxa"/>
            <w:tcBorders>
              <w:top w:val="nil"/>
              <w:left w:val="nil"/>
              <w:bottom w:val="single" w:sz="4" w:space="0" w:color="auto"/>
              <w:right w:val="single" w:sz="4" w:space="0" w:color="auto"/>
            </w:tcBorders>
            <w:shd w:val="clear" w:color="auto" w:fill="auto"/>
            <w:noWrap/>
            <w:vAlign w:val="bottom"/>
          </w:tcPr>
          <w:p w14:paraId="46CB4B7A" w14:textId="4B9FB7B5" w:rsidR="0007798E" w:rsidRDefault="0007798E" w:rsidP="003233A1">
            <w:pPr>
              <w:jc w:val="right"/>
              <w:rPr>
                <w:rFonts w:ascii="Calibri" w:eastAsia="Times New Roman" w:hAnsi="Calibri" w:cs="Times New Roman"/>
              </w:rPr>
            </w:pPr>
            <w:r>
              <w:rPr>
                <w:rFonts w:ascii="Calibri" w:eastAsia="Times New Roman" w:hAnsi="Calibri" w:cs="Times New Roman"/>
              </w:rPr>
              <w:t>$5,062</w:t>
            </w:r>
          </w:p>
        </w:tc>
      </w:tr>
      <w:tr w:rsidR="0007798E" w:rsidRPr="00066142" w14:paraId="0F3C84A8"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9451CB8" w14:textId="77777777" w:rsidR="0007798E" w:rsidRPr="00066142" w:rsidRDefault="0007798E" w:rsidP="007438E9">
            <w:pPr>
              <w:rPr>
                <w:rFonts w:ascii="Calibri" w:eastAsia="Times New Roman" w:hAnsi="Calibri" w:cs="Times New Roman"/>
              </w:rPr>
            </w:pPr>
            <w:r w:rsidRPr="00066142">
              <w:rPr>
                <w:rFonts w:ascii="Calibri" w:eastAsia="Times New Roman" w:hAnsi="Calibri" w:cs="Times New Roman"/>
              </w:rPr>
              <w:t>Univ. of Florida</w:t>
            </w:r>
          </w:p>
        </w:tc>
        <w:tc>
          <w:tcPr>
            <w:tcW w:w="1460" w:type="dxa"/>
            <w:tcBorders>
              <w:top w:val="nil"/>
              <w:left w:val="nil"/>
              <w:bottom w:val="single" w:sz="4" w:space="0" w:color="auto"/>
              <w:right w:val="single" w:sz="4" w:space="0" w:color="auto"/>
            </w:tcBorders>
            <w:shd w:val="clear" w:color="auto" w:fill="auto"/>
            <w:noWrap/>
            <w:vAlign w:val="bottom"/>
            <w:hideMark/>
          </w:tcPr>
          <w:p w14:paraId="1B6BBCF3" w14:textId="46BE6B97" w:rsidR="0007798E" w:rsidRPr="00066142" w:rsidRDefault="0007798E" w:rsidP="00F45C89">
            <w:pPr>
              <w:jc w:val="right"/>
              <w:rPr>
                <w:rFonts w:ascii="Calibri" w:eastAsia="Times New Roman" w:hAnsi="Calibri" w:cs="Times New Roman"/>
              </w:rPr>
            </w:pPr>
            <w:r>
              <w:rPr>
                <w:rFonts w:ascii="Calibri" w:eastAsia="Times New Roman" w:hAnsi="Calibri" w:cs="Times New Roman"/>
              </w:rPr>
              <w:t>$4,776</w:t>
            </w:r>
          </w:p>
        </w:tc>
      </w:tr>
      <w:tr w:rsidR="0007798E" w:rsidRPr="00066142" w14:paraId="1604A38C"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B6151BB" w14:textId="7A2EAA09" w:rsidR="0007798E" w:rsidRPr="00066142" w:rsidRDefault="0007798E" w:rsidP="007438E9">
            <w:pPr>
              <w:rPr>
                <w:rFonts w:ascii="Calibri" w:eastAsia="Times New Roman" w:hAnsi="Calibri" w:cs="Times New Roman"/>
              </w:rPr>
            </w:pPr>
            <w:r w:rsidRPr="00066142">
              <w:rPr>
                <w:rFonts w:ascii="Calibri" w:eastAsia="Times New Roman" w:hAnsi="Calibri" w:cs="Times New Roman"/>
              </w:rPr>
              <w:t>Texas A&amp;M</w:t>
            </w:r>
          </w:p>
        </w:tc>
        <w:tc>
          <w:tcPr>
            <w:tcW w:w="1460" w:type="dxa"/>
            <w:tcBorders>
              <w:top w:val="nil"/>
              <w:left w:val="nil"/>
              <w:bottom w:val="single" w:sz="4" w:space="0" w:color="auto"/>
              <w:right w:val="single" w:sz="4" w:space="0" w:color="auto"/>
            </w:tcBorders>
            <w:shd w:val="clear" w:color="auto" w:fill="auto"/>
            <w:noWrap/>
            <w:vAlign w:val="bottom"/>
            <w:hideMark/>
          </w:tcPr>
          <w:p w14:paraId="3F896C18" w14:textId="7762A957" w:rsidR="0007798E" w:rsidRPr="00066142" w:rsidRDefault="0007798E" w:rsidP="002E4DB5">
            <w:pPr>
              <w:jc w:val="right"/>
              <w:rPr>
                <w:rFonts w:ascii="Calibri" w:eastAsia="Times New Roman" w:hAnsi="Calibri" w:cs="Times New Roman"/>
              </w:rPr>
            </w:pPr>
            <w:r>
              <w:rPr>
                <w:rFonts w:ascii="Calibri" w:eastAsia="Times New Roman" w:hAnsi="Calibri" w:cs="Times New Roman"/>
              </w:rPr>
              <w:t>$3,512</w:t>
            </w:r>
          </w:p>
        </w:tc>
      </w:tr>
    </w:tbl>
    <w:p w14:paraId="2744D5F5" w14:textId="77777777" w:rsidR="006F20F4" w:rsidRDefault="006F20F4"/>
    <w:p w14:paraId="3AB457E5" w14:textId="603F7AEC" w:rsidR="00A17916" w:rsidRDefault="00A17916">
      <w:r>
        <w:br w:type="page"/>
      </w:r>
    </w:p>
    <w:p w14:paraId="39CF82A3" w14:textId="3A562A19" w:rsidR="00422B6C" w:rsidRPr="0007798E" w:rsidRDefault="00422B6C" w:rsidP="00422B6C">
      <w:pPr>
        <w:rPr>
          <w:b/>
        </w:rPr>
      </w:pPr>
      <w:r w:rsidRPr="0007798E">
        <w:rPr>
          <w:b/>
        </w:rPr>
        <w:lastRenderedPageBreak/>
        <w:t>Appendix B</w:t>
      </w:r>
    </w:p>
    <w:p w14:paraId="68D377FC" w14:textId="68A3E24A" w:rsidR="00422B6C" w:rsidRPr="00AA70DA" w:rsidRDefault="00422B6C" w:rsidP="00422B6C">
      <w:pPr>
        <w:rPr>
          <w:b/>
        </w:rPr>
      </w:pPr>
      <w:r w:rsidRPr="0007798E">
        <w:rPr>
          <w:b/>
        </w:rPr>
        <w:t>Tuition and fees charged by peer institutions fo</w:t>
      </w:r>
      <w:r w:rsidR="009F3F9B">
        <w:rPr>
          <w:b/>
        </w:rPr>
        <w:t xml:space="preserve">r Masters degrees, 1 semester, </w:t>
      </w:r>
      <w:r w:rsidRPr="0007798E">
        <w:rPr>
          <w:b/>
        </w:rPr>
        <w:t>full-time (9 credits)</w:t>
      </w:r>
    </w:p>
    <w:p w14:paraId="7E5B939C" w14:textId="77777777" w:rsidR="002C6E0B" w:rsidRDefault="002C6E0B" w:rsidP="002C6E0B"/>
    <w:p w14:paraId="3FA5121A" w14:textId="77777777" w:rsidR="002C6E0B" w:rsidRDefault="002C6E0B" w:rsidP="002C6E0B">
      <w:r>
        <w:t>(</w:t>
      </w:r>
      <w:proofErr w:type="gramStart"/>
      <w:r>
        <w:t>sorted</w:t>
      </w:r>
      <w:proofErr w:type="gramEnd"/>
      <w:r>
        <w:t xml:space="preserve"> by decreasing order of non-resident tuition)</w:t>
      </w:r>
    </w:p>
    <w:p w14:paraId="0FFD5A30" w14:textId="77777777" w:rsidR="00DB7993" w:rsidRDefault="00DB7993" w:rsidP="00E05CF5"/>
    <w:tbl>
      <w:tblPr>
        <w:tblW w:w="3835" w:type="dxa"/>
        <w:tblInd w:w="93" w:type="dxa"/>
        <w:tblLook w:val="04A0" w:firstRow="1" w:lastRow="0" w:firstColumn="1" w:lastColumn="0" w:noHBand="0" w:noVBand="1"/>
      </w:tblPr>
      <w:tblGrid>
        <w:gridCol w:w="2380"/>
        <w:gridCol w:w="1455"/>
      </w:tblGrid>
      <w:tr w:rsidR="002C6E0B" w:rsidRPr="00066142" w14:paraId="5A041E9D" w14:textId="77777777" w:rsidTr="002C6E0B">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79A2E8" w14:textId="77777777" w:rsidR="002C6E0B" w:rsidRPr="00066142" w:rsidRDefault="002C6E0B" w:rsidP="00DB7993">
            <w:pPr>
              <w:rPr>
                <w:rFonts w:ascii="Calibri" w:eastAsia="Times New Roman" w:hAnsi="Calibri" w:cs="Times New Roman"/>
                <w:b/>
                <w:bCs/>
              </w:rPr>
            </w:pPr>
            <w:r w:rsidRPr="00066142">
              <w:rPr>
                <w:rFonts w:ascii="Calibri" w:eastAsia="Times New Roman" w:hAnsi="Calibri" w:cs="Times New Roman"/>
                <w:b/>
                <w:bCs/>
              </w:rPr>
              <w:t>University</w:t>
            </w:r>
          </w:p>
        </w:tc>
        <w:tc>
          <w:tcPr>
            <w:tcW w:w="1455" w:type="dxa"/>
            <w:tcBorders>
              <w:top w:val="single" w:sz="4" w:space="0" w:color="auto"/>
              <w:left w:val="nil"/>
              <w:bottom w:val="single" w:sz="4" w:space="0" w:color="auto"/>
              <w:right w:val="single" w:sz="4" w:space="0" w:color="auto"/>
            </w:tcBorders>
            <w:shd w:val="clear" w:color="000000" w:fill="D9D9D9"/>
            <w:noWrap/>
            <w:vAlign w:val="bottom"/>
            <w:hideMark/>
          </w:tcPr>
          <w:p w14:paraId="7D4EFB1A" w14:textId="1A3ACCBF" w:rsidR="002C6E0B" w:rsidRPr="00066142" w:rsidRDefault="002C6E0B" w:rsidP="00DB7993">
            <w:pPr>
              <w:rPr>
                <w:rFonts w:ascii="Calibri" w:eastAsia="Times New Roman" w:hAnsi="Calibri" w:cs="Times New Roman"/>
                <w:b/>
                <w:bCs/>
              </w:rPr>
            </w:pPr>
            <w:r w:rsidRPr="00066142">
              <w:rPr>
                <w:rFonts w:ascii="Calibri" w:eastAsia="Times New Roman" w:hAnsi="Calibri" w:cs="Times New Roman"/>
                <w:b/>
                <w:bCs/>
              </w:rPr>
              <w:t>Non</w:t>
            </w:r>
            <w:r w:rsidR="00A17916">
              <w:rPr>
                <w:rFonts w:ascii="Calibri" w:eastAsia="Times New Roman" w:hAnsi="Calibri" w:cs="Times New Roman"/>
                <w:b/>
                <w:bCs/>
              </w:rPr>
              <w:t>-</w:t>
            </w:r>
            <w:r w:rsidRPr="00066142">
              <w:rPr>
                <w:rFonts w:ascii="Calibri" w:eastAsia="Times New Roman" w:hAnsi="Calibri" w:cs="Times New Roman"/>
                <w:b/>
                <w:bCs/>
              </w:rPr>
              <w:t>resident</w:t>
            </w:r>
          </w:p>
        </w:tc>
      </w:tr>
      <w:tr w:rsidR="002C6E0B" w:rsidRPr="00066142" w14:paraId="6A687076"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3E17DCA" w14:textId="77777777" w:rsidR="002C6E0B" w:rsidRPr="00066142" w:rsidRDefault="002C6E0B" w:rsidP="00DB7993">
            <w:pPr>
              <w:rPr>
                <w:rFonts w:ascii="Calibri" w:eastAsia="Times New Roman" w:hAnsi="Calibri" w:cs="Times New Roman"/>
              </w:rPr>
            </w:pPr>
            <w:r w:rsidRPr="00066142">
              <w:rPr>
                <w:rFonts w:ascii="Calibri" w:eastAsia="Times New Roman" w:hAnsi="Calibri" w:cs="Times New Roman"/>
              </w:rPr>
              <w:t>Penn State</w:t>
            </w:r>
          </w:p>
        </w:tc>
        <w:tc>
          <w:tcPr>
            <w:tcW w:w="1455" w:type="dxa"/>
            <w:tcBorders>
              <w:top w:val="nil"/>
              <w:left w:val="nil"/>
              <w:bottom w:val="single" w:sz="4" w:space="0" w:color="auto"/>
              <w:right w:val="single" w:sz="4" w:space="0" w:color="auto"/>
            </w:tcBorders>
            <w:shd w:val="clear" w:color="auto" w:fill="auto"/>
            <w:noWrap/>
            <w:vAlign w:val="bottom"/>
            <w:hideMark/>
          </w:tcPr>
          <w:p w14:paraId="3CA393C3" w14:textId="299B2122" w:rsidR="002C6E0B" w:rsidRPr="00066142" w:rsidRDefault="00D8543B" w:rsidP="00DB7993">
            <w:pPr>
              <w:jc w:val="right"/>
              <w:rPr>
                <w:rFonts w:ascii="Calibri" w:eastAsia="Times New Roman" w:hAnsi="Calibri" w:cs="Times New Roman"/>
              </w:rPr>
            </w:pPr>
            <w:r>
              <w:rPr>
                <w:rFonts w:ascii="Calibri" w:eastAsia="Times New Roman" w:hAnsi="Calibri" w:cs="Times New Roman"/>
              </w:rPr>
              <w:t>$18,799</w:t>
            </w:r>
          </w:p>
        </w:tc>
      </w:tr>
      <w:tr w:rsidR="0007798E" w:rsidRPr="00066142" w14:paraId="28C5E94D"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5D232F1D" w14:textId="2AA34D11" w:rsidR="0007798E" w:rsidRPr="00066142" w:rsidRDefault="0007798E" w:rsidP="00DB7993">
            <w:pPr>
              <w:rPr>
                <w:rFonts w:ascii="Calibri" w:eastAsia="Times New Roman" w:hAnsi="Calibri" w:cs="Times New Roman"/>
              </w:rPr>
            </w:pPr>
            <w:r>
              <w:rPr>
                <w:rFonts w:ascii="Calibri" w:eastAsia="Times New Roman" w:hAnsi="Calibri" w:cs="Times New Roman"/>
              </w:rPr>
              <w:t>Rutgers U.</w:t>
            </w:r>
          </w:p>
        </w:tc>
        <w:tc>
          <w:tcPr>
            <w:tcW w:w="1455" w:type="dxa"/>
            <w:tcBorders>
              <w:top w:val="nil"/>
              <w:left w:val="nil"/>
              <w:bottom w:val="single" w:sz="4" w:space="0" w:color="auto"/>
              <w:right w:val="single" w:sz="4" w:space="0" w:color="auto"/>
            </w:tcBorders>
            <w:shd w:val="clear" w:color="auto" w:fill="auto"/>
            <w:noWrap/>
            <w:vAlign w:val="bottom"/>
          </w:tcPr>
          <w:p w14:paraId="29D34334" w14:textId="55D04E3B" w:rsidR="0007798E" w:rsidRDefault="0007798E" w:rsidP="00DB7993">
            <w:pPr>
              <w:jc w:val="right"/>
              <w:rPr>
                <w:rFonts w:ascii="Calibri" w:eastAsia="Times New Roman" w:hAnsi="Calibri" w:cs="Times New Roman"/>
              </w:rPr>
            </w:pPr>
            <w:r>
              <w:rPr>
                <w:rFonts w:ascii="Calibri" w:eastAsia="Times New Roman" w:hAnsi="Calibri" w:cs="Times New Roman"/>
              </w:rPr>
              <w:t>$18,559</w:t>
            </w:r>
          </w:p>
        </w:tc>
      </w:tr>
      <w:tr w:rsidR="0007798E" w:rsidRPr="00066142" w14:paraId="6607030E"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3AF49CA" w14:textId="77777777" w:rsidR="0007798E" w:rsidRPr="00066142" w:rsidRDefault="0007798E" w:rsidP="00DB7993">
            <w:pPr>
              <w:rPr>
                <w:rFonts w:ascii="Calibri" w:eastAsia="Times New Roman" w:hAnsi="Calibri" w:cs="Times New Roman"/>
              </w:rPr>
            </w:pPr>
            <w:r w:rsidRPr="00066142">
              <w:rPr>
                <w:rFonts w:ascii="Calibri" w:eastAsia="Times New Roman" w:hAnsi="Calibri" w:cs="Times New Roman"/>
              </w:rPr>
              <w:t>UIUC</w:t>
            </w:r>
          </w:p>
        </w:tc>
        <w:tc>
          <w:tcPr>
            <w:tcW w:w="1455" w:type="dxa"/>
            <w:tcBorders>
              <w:top w:val="nil"/>
              <w:left w:val="nil"/>
              <w:bottom w:val="single" w:sz="4" w:space="0" w:color="auto"/>
              <w:right w:val="single" w:sz="4" w:space="0" w:color="auto"/>
            </w:tcBorders>
            <w:shd w:val="clear" w:color="auto" w:fill="auto"/>
            <w:noWrap/>
            <w:vAlign w:val="bottom"/>
            <w:hideMark/>
          </w:tcPr>
          <w:p w14:paraId="36AEABF1" w14:textId="7AB8B2C3" w:rsidR="0007798E" w:rsidRPr="00066142" w:rsidRDefault="0007798E" w:rsidP="00DB7993">
            <w:pPr>
              <w:jc w:val="right"/>
              <w:rPr>
                <w:rFonts w:ascii="Calibri" w:eastAsia="Times New Roman" w:hAnsi="Calibri" w:cs="Times New Roman"/>
              </w:rPr>
            </w:pPr>
            <w:r>
              <w:rPr>
                <w:rFonts w:ascii="Calibri" w:eastAsia="Times New Roman" w:hAnsi="Calibri" w:cs="Times New Roman"/>
              </w:rPr>
              <w:t>$18,234</w:t>
            </w:r>
          </w:p>
        </w:tc>
      </w:tr>
      <w:tr w:rsidR="0007798E" w:rsidRPr="00066142" w14:paraId="144850BE"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6B000942" w14:textId="57B91532" w:rsidR="0007798E" w:rsidRPr="00066142" w:rsidRDefault="0007798E" w:rsidP="00DB7993">
            <w:pPr>
              <w:rPr>
                <w:rFonts w:ascii="Calibri" w:eastAsia="Times New Roman" w:hAnsi="Calibri" w:cs="Times New Roman"/>
              </w:rPr>
            </w:pPr>
            <w:r w:rsidRPr="00066142">
              <w:rPr>
                <w:rFonts w:ascii="Calibri" w:eastAsia="Times New Roman" w:hAnsi="Calibri" w:cs="Times New Roman"/>
              </w:rPr>
              <w:t>Ohio State</w:t>
            </w:r>
          </w:p>
        </w:tc>
        <w:tc>
          <w:tcPr>
            <w:tcW w:w="1455" w:type="dxa"/>
            <w:tcBorders>
              <w:top w:val="nil"/>
              <w:left w:val="nil"/>
              <w:bottom w:val="single" w:sz="4" w:space="0" w:color="auto"/>
              <w:right w:val="single" w:sz="4" w:space="0" w:color="auto"/>
            </w:tcBorders>
            <w:shd w:val="clear" w:color="auto" w:fill="auto"/>
            <w:noWrap/>
            <w:vAlign w:val="bottom"/>
          </w:tcPr>
          <w:p w14:paraId="7B700A4E" w14:textId="726F01D8" w:rsidR="0007798E" w:rsidRDefault="0007798E" w:rsidP="00DB7993">
            <w:pPr>
              <w:jc w:val="right"/>
              <w:rPr>
                <w:rFonts w:ascii="Calibri" w:eastAsia="Times New Roman" w:hAnsi="Calibri" w:cs="Times New Roman"/>
              </w:rPr>
            </w:pPr>
            <w:r>
              <w:rPr>
                <w:rFonts w:ascii="Calibri" w:eastAsia="Times New Roman" w:hAnsi="Calibri" w:cs="Times New Roman"/>
              </w:rPr>
              <w:t>$16,691</w:t>
            </w:r>
          </w:p>
        </w:tc>
      </w:tr>
      <w:tr w:rsidR="0007798E" w:rsidRPr="00066142" w14:paraId="2F51F73E" w14:textId="77777777" w:rsidTr="0007798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360D2D5E" w14:textId="6A28DD5D" w:rsidR="0007798E" w:rsidRPr="0007798E" w:rsidRDefault="0007798E" w:rsidP="00DB7993">
            <w:pPr>
              <w:rPr>
                <w:rFonts w:ascii="Calibri" w:eastAsia="Times New Roman" w:hAnsi="Calibri" w:cs="Times New Roman"/>
                <w:bCs/>
              </w:rPr>
            </w:pPr>
            <w:r w:rsidRPr="0007798E">
              <w:rPr>
                <w:rFonts w:ascii="Calibri" w:eastAsia="Times New Roman" w:hAnsi="Calibri" w:cs="Times New Roman"/>
                <w:b/>
                <w:bCs/>
              </w:rPr>
              <w:t>N.C. State-proposed</w:t>
            </w:r>
          </w:p>
        </w:tc>
        <w:tc>
          <w:tcPr>
            <w:tcW w:w="1455" w:type="dxa"/>
            <w:tcBorders>
              <w:top w:val="nil"/>
              <w:left w:val="nil"/>
              <w:bottom w:val="single" w:sz="4" w:space="0" w:color="auto"/>
              <w:right w:val="single" w:sz="4" w:space="0" w:color="auto"/>
            </w:tcBorders>
            <w:shd w:val="clear" w:color="auto" w:fill="auto"/>
            <w:noWrap/>
            <w:vAlign w:val="bottom"/>
          </w:tcPr>
          <w:p w14:paraId="32923D99" w14:textId="3CC12BCD" w:rsidR="0007798E" w:rsidRPr="00066142" w:rsidRDefault="0007798E" w:rsidP="00DB7993">
            <w:pPr>
              <w:jc w:val="right"/>
              <w:rPr>
                <w:rFonts w:ascii="Calibri" w:eastAsia="Times New Roman" w:hAnsi="Calibri" w:cs="Times New Roman"/>
              </w:rPr>
            </w:pPr>
            <w:r>
              <w:rPr>
                <w:rFonts w:ascii="Calibri" w:eastAsia="Times New Roman" w:hAnsi="Calibri" w:cs="Times New Roman"/>
                <w:b/>
                <w:u w:val="single"/>
              </w:rPr>
              <w:t>$</w:t>
            </w:r>
            <w:r w:rsidRPr="00FB06E6">
              <w:rPr>
                <w:b/>
              </w:rPr>
              <w:t>16,247</w:t>
            </w:r>
          </w:p>
        </w:tc>
      </w:tr>
      <w:tr w:rsidR="0007798E" w:rsidRPr="00066142" w14:paraId="2BBFD02A" w14:textId="77777777" w:rsidTr="0007798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7686C522" w14:textId="5437784F" w:rsidR="0007798E" w:rsidRPr="0007798E" w:rsidRDefault="0007798E" w:rsidP="00DB7993">
            <w:pPr>
              <w:rPr>
                <w:rFonts w:ascii="Calibri" w:eastAsia="Times New Roman" w:hAnsi="Calibri" w:cs="Times New Roman"/>
                <w:bCs/>
              </w:rPr>
            </w:pPr>
            <w:r w:rsidRPr="0007798E">
              <w:rPr>
                <w:rFonts w:ascii="Calibri" w:eastAsia="Times New Roman" w:hAnsi="Calibri" w:cs="Times New Roman"/>
                <w:b/>
                <w:bCs/>
              </w:rPr>
              <w:t>N.C. State-present</w:t>
            </w:r>
          </w:p>
        </w:tc>
        <w:tc>
          <w:tcPr>
            <w:tcW w:w="1455" w:type="dxa"/>
            <w:tcBorders>
              <w:top w:val="nil"/>
              <w:left w:val="nil"/>
              <w:bottom w:val="single" w:sz="4" w:space="0" w:color="auto"/>
              <w:right w:val="single" w:sz="4" w:space="0" w:color="auto"/>
            </w:tcBorders>
            <w:shd w:val="clear" w:color="auto" w:fill="auto"/>
            <w:noWrap/>
            <w:vAlign w:val="bottom"/>
          </w:tcPr>
          <w:p w14:paraId="2B45B1B9" w14:textId="6F0F4E61" w:rsidR="0007798E" w:rsidRPr="00066142" w:rsidRDefault="0007798E" w:rsidP="004A5B2C">
            <w:pPr>
              <w:jc w:val="right"/>
              <w:rPr>
                <w:rFonts w:ascii="Calibri" w:eastAsia="Times New Roman" w:hAnsi="Calibri" w:cs="Times New Roman"/>
              </w:rPr>
            </w:pPr>
            <w:r>
              <w:rPr>
                <w:rFonts w:ascii="Calibri" w:eastAsia="Times New Roman" w:hAnsi="Calibri" w:cs="Times New Roman"/>
                <w:b/>
                <w:u w:val="single"/>
              </w:rPr>
              <w:t>$</w:t>
            </w:r>
            <w:r w:rsidRPr="00FB06E6">
              <w:rPr>
                <w:b/>
              </w:rPr>
              <w:t>15,447</w:t>
            </w:r>
          </w:p>
        </w:tc>
      </w:tr>
      <w:tr w:rsidR="0007798E" w:rsidRPr="00066142" w14:paraId="16A790ED" w14:textId="77777777" w:rsidTr="0007798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78A19972" w14:textId="1951D504" w:rsidR="0007798E" w:rsidRPr="00066142" w:rsidRDefault="0007798E" w:rsidP="00DB7993">
            <w:pPr>
              <w:rPr>
                <w:rFonts w:ascii="Calibri" w:eastAsia="Times New Roman" w:hAnsi="Calibri" w:cs="Times New Roman"/>
              </w:rPr>
            </w:pPr>
            <w:r w:rsidRPr="00066142">
              <w:rPr>
                <w:rFonts w:ascii="Calibri" w:eastAsia="Times New Roman" w:hAnsi="Calibri" w:cs="Times New Roman"/>
              </w:rPr>
              <w:t>Georgia Tech</w:t>
            </w:r>
          </w:p>
        </w:tc>
        <w:tc>
          <w:tcPr>
            <w:tcW w:w="1455" w:type="dxa"/>
            <w:tcBorders>
              <w:top w:val="nil"/>
              <w:left w:val="nil"/>
              <w:bottom w:val="single" w:sz="4" w:space="0" w:color="auto"/>
              <w:right w:val="single" w:sz="4" w:space="0" w:color="auto"/>
            </w:tcBorders>
            <w:shd w:val="clear" w:color="auto" w:fill="auto"/>
            <w:noWrap/>
            <w:vAlign w:val="bottom"/>
          </w:tcPr>
          <w:p w14:paraId="6A88A179" w14:textId="7365C142" w:rsidR="0007798E" w:rsidRPr="00066142" w:rsidRDefault="0007798E" w:rsidP="00FB06E6">
            <w:pPr>
              <w:jc w:val="right"/>
              <w:rPr>
                <w:rFonts w:ascii="Calibri" w:eastAsia="Times New Roman" w:hAnsi="Calibri" w:cs="Times New Roman"/>
              </w:rPr>
            </w:pPr>
            <w:r>
              <w:rPr>
                <w:rFonts w:ascii="Calibri" w:eastAsia="Times New Roman" w:hAnsi="Calibri" w:cs="Times New Roman"/>
              </w:rPr>
              <w:t>$15,036</w:t>
            </w:r>
          </w:p>
        </w:tc>
      </w:tr>
      <w:tr w:rsidR="0007798E" w:rsidRPr="00066142" w14:paraId="63F2D8E0"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356F9224" w14:textId="21B3F3C5" w:rsidR="0007798E" w:rsidRPr="00066142" w:rsidRDefault="0007798E" w:rsidP="00DB7993">
            <w:pPr>
              <w:rPr>
                <w:rFonts w:ascii="Calibri" w:eastAsia="Times New Roman" w:hAnsi="Calibri" w:cs="Times New Roman"/>
              </w:rPr>
            </w:pPr>
            <w:r w:rsidRPr="00066142">
              <w:rPr>
                <w:rFonts w:ascii="Calibri" w:eastAsia="Times New Roman" w:hAnsi="Calibri" w:cs="Times New Roman"/>
              </w:rPr>
              <w:t>Purdue</w:t>
            </w:r>
          </w:p>
        </w:tc>
        <w:tc>
          <w:tcPr>
            <w:tcW w:w="1455" w:type="dxa"/>
            <w:tcBorders>
              <w:top w:val="nil"/>
              <w:left w:val="nil"/>
              <w:bottom w:val="single" w:sz="4" w:space="0" w:color="auto"/>
              <w:right w:val="single" w:sz="4" w:space="0" w:color="auto"/>
            </w:tcBorders>
            <w:shd w:val="clear" w:color="auto" w:fill="auto"/>
            <w:noWrap/>
            <w:vAlign w:val="bottom"/>
          </w:tcPr>
          <w:p w14:paraId="144631D8" w14:textId="0F9B8A89" w:rsidR="0007798E" w:rsidRDefault="0007798E" w:rsidP="00C230FA">
            <w:pPr>
              <w:jc w:val="right"/>
              <w:rPr>
                <w:rFonts w:ascii="Calibri" w:eastAsia="Times New Roman" w:hAnsi="Calibri" w:cs="Times New Roman"/>
              </w:rPr>
            </w:pPr>
            <w:r>
              <w:rPr>
                <w:rFonts w:ascii="Calibri" w:eastAsia="Times New Roman" w:hAnsi="Calibri" w:cs="Times New Roman"/>
              </w:rPr>
              <w:t>$14,964</w:t>
            </w:r>
          </w:p>
        </w:tc>
      </w:tr>
      <w:tr w:rsidR="0007798E" w:rsidRPr="002B110B" w14:paraId="166945E8" w14:textId="77777777" w:rsidTr="0007798E">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676E60F" w14:textId="5D1E6590" w:rsidR="0007798E" w:rsidRPr="002B110B" w:rsidRDefault="0007798E" w:rsidP="00DB7993">
            <w:pPr>
              <w:rPr>
                <w:rFonts w:ascii="Calibri" w:eastAsia="Times New Roman" w:hAnsi="Calibri" w:cs="Times New Roman"/>
                <w:b/>
                <w:u w:val="single"/>
              </w:rPr>
            </w:pPr>
            <w:r w:rsidRPr="00066142">
              <w:rPr>
                <w:rFonts w:ascii="Calibri" w:eastAsia="Times New Roman" w:hAnsi="Calibri" w:cs="Times New Roman"/>
              </w:rPr>
              <w:t>Virginia Tech</w:t>
            </w:r>
          </w:p>
        </w:tc>
        <w:tc>
          <w:tcPr>
            <w:tcW w:w="1455" w:type="dxa"/>
            <w:tcBorders>
              <w:top w:val="single" w:sz="4" w:space="0" w:color="auto"/>
              <w:left w:val="nil"/>
              <w:bottom w:val="single" w:sz="4" w:space="0" w:color="auto"/>
              <w:right w:val="single" w:sz="4" w:space="0" w:color="auto"/>
            </w:tcBorders>
            <w:shd w:val="clear" w:color="000000" w:fill="auto"/>
            <w:noWrap/>
            <w:vAlign w:val="bottom"/>
          </w:tcPr>
          <w:p w14:paraId="4A64C1BD" w14:textId="722B1D33" w:rsidR="0007798E" w:rsidRPr="002B110B" w:rsidRDefault="0007798E" w:rsidP="00DB7993">
            <w:pPr>
              <w:jc w:val="right"/>
              <w:rPr>
                <w:rFonts w:ascii="Calibri" w:eastAsia="Times New Roman" w:hAnsi="Calibri" w:cs="Times New Roman"/>
                <w:b/>
                <w:u w:val="single"/>
              </w:rPr>
            </w:pPr>
            <w:r>
              <w:rPr>
                <w:rFonts w:ascii="Calibri" w:eastAsia="Times New Roman" w:hAnsi="Calibri" w:cs="Times New Roman"/>
              </w:rPr>
              <w:t>$14,407</w:t>
            </w:r>
          </w:p>
        </w:tc>
      </w:tr>
      <w:tr w:rsidR="0007798E" w:rsidRPr="00066142" w14:paraId="7DD8A15D"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5FAB8B61" w14:textId="115F379B" w:rsidR="0007798E" w:rsidRPr="00066142" w:rsidRDefault="0007798E" w:rsidP="00DB7993">
            <w:pPr>
              <w:rPr>
                <w:rFonts w:ascii="Calibri" w:eastAsia="Times New Roman" w:hAnsi="Calibri" w:cs="Times New Roman"/>
              </w:rPr>
            </w:pPr>
            <w:r w:rsidRPr="00066142">
              <w:rPr>
                <w:rFonts w:ascii="Calibri" w:eastAsia="Times New Roman" w:hAnsi="Calibri" w:cs="Times New Roman"/>
              </w:rPr>
              <w:t>Univ. of Maryland</w:t>
            </w:r>
          </w:p>
        </w:tc>
        <w:tc>
          <w:tcPr>
            <w:tcW w:w="1455" w:type="dxa"/>
            <w:tcBorders>
              <w:top w:val="nil"/>
              <w:left w:val="nil"/>
              <w:bottom w:val="single" w:sz="4" w:space="0" w:color="auto"/>
              <w:right w:val="single" w:sz="4" w:space="0" w:color="auto"/>
            </w:tcBorders>
            <w:shd w:val="clear" w:color="auto" w:fill="auto"/>
            <w:noWrap/>
            <w:vAlign w:val="bottom"/>
          </w:tcPr>
          <w:p w14:paraId="530EE79F" w14:textId="0CE4FDFE" w:rsidR="0007798E" w:rsidRDefault="0007798E" w:rsidP="00556136">
            <w:pPr>
              <w:jc w:val="right"/>
              <w:rPr>
                <w:rFonts w:ascii="Calibri" w:eastAsia="Times New Roman" w:hAnsi="Calibri" w:cs="Times New Roman"/>
              </w:rPr>
            </w:pPr>
            <w:r>
              <w:rPr>
                <w:rFonts w:ascii="Calibri" w:eastAsia="Times New Roman" w:hAnsi="Calibri" w:cs="Times New Roman"/>
              </w:rPr>
              <w:t>$13,405</w:t>
            </w:r>
          </w:p>
        </w:tc>
      </w:tr>
      <w:tr w:rsidR="0007798E" w:rsidRPr="00066142" w14:paraId="03720E48"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7AB36E7C" w14:textId="1B775DF3" w:rsidR="0007798E" w:rsidRPr="00066142" w:rsidRDefault="0007798E" w:rsidP="00DB7993">
            <w:pPr>
              <w:rPr>
                <w:rFonts w:ascii="Calibri" w:eastAsia="Times New Roman" w:hAnsi="Calibri" w:cs="Times New Roman"/>
              </w:rPr>
            </w:pPr>
            <w:r>
              <w:rPr>
                <w:rFonts w:ascii="Calibri" w:eastAsia="Times New Roman" w:hAnsi="Calibri" w:cs="Times New Roman"/>
              </w:rPr>
              <w:t>Michigan State Univ.</w:t>
            </w:r>
          </w:p>
        </w:tc>
        <w:tc>
          <w:tcPr>
            <w:tcW w:w="1455" w:type="dxa"/>
            <w:tcBorders>
              <w:top w:val="nil"/>
              <w:left w:val="nil"/>
              <w:bottom w:val="single" w:sz="4" w:space="0" w:color="auto"/>
              <w:right w:val="single" w:sz="4" w:space="0" w:color="auto"/>
            </w:tcBorders>
            <w:shd w:val="clear" w:color="auto" w:fill="auto"/>
            <w:noWrap/>
            <w:vAlign w:val="bottom"/>
          </w:tcPr>
          <w:p w14:paraId="50A27512" w14:textId="4D5BF909" w:rsidR="0007798E" w:rsidRDefault="0007798E" w:rsidP="007F66F9">
            <w:pPr>
              <w:jc w:val="right"/>
              <w:rPr>
                <w:rFonts w:ascii="Calibri" w:eastAsia="Times New Roman" w:hAnsi="Calibri" w:cs="Times New Roman"/>
              </w:rPr>
            </w:pPr>
            <w:r>
              <w:rPr>
                <w:rFonts w:ascii="Calibri" w:eastAsia="Times New Roman" w:hAnsi="Calibri" w:cs="Times New Roman"/>
              </w:rPr>
              <w:t>$13,189</w:t>
            </w:r>
          </w:p>
        </w:tc>
      </w:tr>
      <w:tr w:rsidR="0007798E" w:rsidRPr="00066142" w14:paraId="3C6208EE" w14:textId="77777777" w:rsidTr="0007798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499A925C" w14:textId="710C251C" w:rsidR="0007798E" w:rsidRPr="00066142" w:rsidRDefault="0007798E" w:rsidP="00DB7993">
            <w:pPr>
              <w:rPr>
                <w:rFonts w:ascii="Calibri" w:eastAsia="Times New Roman" w:hAnsi="Calibri" w:cs="Times New Roman"/>
              </w:rPr>
            </w:pPr>
            <w:r>
              <w:rPr>
                <w:rFonts w:ascii="Calibri" w:eastAsia="Times New Roman" w:hAnsi="Calibri" w:cs="Times New Roman"/>
              </w:rPr>
              <w:t>Univ. of Minnesota</w:t>
            </w:r>
          </w:p>
        </w:tc>
        <w:tc>
          <w:tcPr>
            <w:tcW w:w="1455" w:type="dxa"/>
            <w:tcBorders>
              <w:top w:val="nil"/>
              <w:left w:val="nil"/>
              <w:bottom w:val="single" w:sz="4" w:space="0" w:color="auto"/>
              <w:right w:val="single" w:sz="4" w:space="0" w:color="auto"/>
            </w:tcBorders>
            <w:shd w:val="clear" w:color="auto" w:fill="auto"/>
            <w:noWrap/>
            <w:vAlign w:val="bottom"/>
          </w:tcPr>
          <w:p w14:paraId="49EDA1B9" w14:textId="79F891FD" w:rsidR="0007798E" w:rsidRPr="00066142" w:rsidRDefault="0007798E" w:rsidP="00F005FD">
            <w:pPr>
              <w:jc w:val="right"/>
              <w:rPr>
                <w:rFonts w:ascii="Calibri" w:eastAsia="Times New Roman" w:hAnsi="Calibri" w:cs="Times New Roman"/>
              </w:rPr>
            </w:pPr>
            <w:r>
              <w:rPr>
                <w:rFonts w:ascii="Calibri" w:eastAsia="Times New Roman" w:hAnsi="Calibri" w:cs="Times New Roman"/>
              </w:rPr>
              <w:t>$13,107</w:t>
            </w:r>
          </w:p>
        </w:tc>
      </w:tr>
      <w:tr w:rsidR="0007798E" w:rsidRPr="00066142" w14:paraId="31332893" w14:textId="77777777" w:rsidTr="002C6E0B">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7FD5A52" w14:textId="4707B15D" w:rsidR="0007798E" w:rsidRPr="00066142" w:rsidRDefault="0007798E" w:rsidP="00DB7993">
            <w:pPr>
              <w:rPr>
                <w:rFonts w:ascii="Calibri" w:eastAsia="Times New Roman" w:hAnsi="Calibri" w:cs="Times New Roman"/>
              </w:rPr>
            </w:pPr>
            <w:r>
              <w:rPr>
                <w:rFonts w:ascii="Calibri" w:eastAsia="Times New Roman" w:hAnsi="Calibri" w:cs="Times New Roman"/>
              </w:rPr>
              <w:t>Univ. of Wisconsin</w:t>
            </w:r>
          </w:p>
        </w:tc>
        <w:tc>
          <w:tcPr>
            <w:tcW w:w="1455" w:type="dxa"/>
            <w:tcBorders>
              <w:top w:val="single" w:sz="4" w:space="0" w:color="auto"/>
              <w:left w:val="nil"/>
              <w:bottom w:val="single" w:sz="4" w:space="0" w:color="auto"/>
              <w:right w:val="single" w:sz="4" w:space="0" w:color="auto"/>
            </w:tcBorders>
            <w:shd w:val="clear" w:color="000000" w:fill="auto"/>
            <w:noWrap/>
            <w:vAlign w:val="bottom"/>
          </w:tcPr>
          <w:p w14:paraId="6D7EB6AE" w14:textId="0D2C1E58" w:rsidR="0007798E" w:rsidRDefault="0007798E" w:rsidP="00F005FD">
            <w:pPr>
              <w:jc w:val="right"/>
              <w:rPr>
                <w:rFonts w:ascii="Calibri" w:eastAsia="Times New Roman" w:hAnsi="Calibri" w:cs="Times New Roman"/>
              </w:rPr>
            </w:pPr>
            <w:r>
              <w:rPr>
                <w:rFonts w:ascii="Calibri" w:eastAsia="Times New Roman" w:hAnsi="Calibri" w:cs="Times New Roman"/>
              </w:rPr>
              <w:t>$12,635</w:t>
            </w:r>
          </w:p>
        </w:tc>
      </w:tr>
      <w:tr w:rsidR="0007798E" w:rsidRPr="00066142" w14:paraId="663F74A2" w14:textId="77777777" w:rsidTr="0007798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12A85085" w14:textId="7094DC79" w:rsidR="0007798E" w:rsidRPr="00066142" w:rsidRDefault="0007798E" w:rsidP="00DB7993">
            <w:pPr>
              <w:rPr>
                <w:rFonts w:ascii="Calibri" w:eastAsia="Times New Roman" w:hAnsi="Calibri" w:cs="Times New Roman"/>
              </w:rPr>
            </w:pPr>
            <w:r w:rsidRPr="00066142">
              <w:rPr>
                <w:rFonts w:ascii="Calibri" w:eastAsia="Times New Roman" w:hAnsi="Calibri" w:cs="Times New Roman"/>
              </w:rPr>
              <w:t>Univ. of Florida</w:t>
            </w:r>
          </w:p>
        </w:tc>
        <w:tc>
          <w:tcPr>
            <w:tcW w:w="1455" w:type="dxa"/>
            <w:tcBorders>
              <w:top w:val="nil"/>
              <w:left w:val="nil"/>
              <w:bottom w:val="single" w:sz="4" w:space="0" w:color="auto"/>
              <w:right w:val="single" w:sz="4" w:space="0" w:color="auto"/>
            </w:tcBorders>
            <w:shd w:val="clear" w:color="auto" w:fill="auto"/>
            <w:noWrap/>
            <w:vAlign w:val="bottom"/>
          </w:tcPr>
          <w:p w14:paraId="5E25ABDF" w14:textId="19DB0B3D" w:rsidR="0007798E" w:rsidRPr="00066142" w:rsidRDefault="0007798E" w:rsidP="00F45C89">
            <w:pPr>
              <w:jc w:val="right"/>
              <w:rPr>
                <w:rFonts w:ascii="Calibri" w:eastAsia="Times New Roman" w:hAnsi="Calibri" w:cs="Times New Roman"/>
              </w:rPr>
            </w:pPr>
            <w:r>
              <w:rPr>
                <w:rFonts w:ascii="Calibri" w:eastAsia="Times New Roman" w:hAnsi="Calibri" w:cs="Times New Roman"/>
              </w:rPr>
              <w:t>$11,299</w:t>
            </w:r>
          </w:p>
        </w:tc>
      </w:tr>
      <w:tr w:rsidR="0007798E" w:rsidRPr="00066142" w14:paraId="568C709D"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51AAF310" w14:textId="77777777" w:rsidR="0007798E" w:rsidRPr="00066142" w:rsidRDefault="0007798E" w:rsidP="00DB7993">
            <w:pPr>
              <w:rPr>
                <w:rFonts w:ascii="Calibri" w:eastAsia="Times New Roman" w:hAnsi="Calibri" w:cs="Times New Roman"/>
              </w:rPr>
            </w:pPr>
            <w:r>
              <w:rPr>
                <w:rFonts w:ascii="Calibri" w:eastAsia="Times New Roman" w:hAnsi="Calibri" w:cs="Times New Roman"/>
              </w:rPr>
              <w:t>Univ. of Washington</w:t>
            </w:r>
          </w:p>
        </w:tc>
        <w:tc>
          <w:tcPr>
            <w:tcW w:w="1455" w:type="dxa"/>
            <w:tcBorders>
              <w:top w:val="nil"/>
              <w:left w:val="nil"/>
              <w:bottom w:val="single" w:sz="4" w:space="0" w:color="auto"/>
              <w:right w:val="single" w:sz="4" w:space="0" w:color="auto"/>
            </w:tcBorders>
            <w:shd w:val="clear" w:color="auto" w:fill="auto"/>
            <w:noWrap/>
            <w:vAlign w:val="bottom"/>
          </w:tcPr>
          <w:p w14:paraId="263B933E" w14:textId="4AAEF900" w:rsidR="0007798E" w:rsidRDefault="0007798E" w:rsidP="003233A1">
            <w:pPr>
              <w:jc w:val="right"/>
              <w:rPr>
                <w:rFonts w:ascii="Calibri" w:eastAsia="Times New Roman" w:hAnsi="Calibri" w:cs="Times New Roman"/>
              </w:rPr>
            </w:pPr>
            <w:r>
              <w:rPr>
                <w:rFonts w:ascii="Calibri" w:eastAsia="Times New Roman" w:hAnsi="Calibri" w:cs="Times New Roman"/>
              </w:rPr>
              <w:t>$10,604</w:t>
            </w:r>
          </w:p>
        </w:tc>
      </w:tr>
      <w:tr w:rsidR="0007798E" w:rsidRPr="00066142" w14:paraId="7407C407"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4C90EA0" w14:textId="063E7DB2" w:rsidR="0007798E" w:rsidRPr="00066142" w:rsidRDefault="0007798E" w:rsidP="00DB7993">
            <w:pPr>
              <w:rPr>
                <w:rFonts w:ascii="Calibri" w:eastAsia="Times New Roman" w:hAnsi="Calibri" w:cs="Times New Roman"/>
              </w:rPr>
            </w:pPr>
            <w:r w:rsidRPr="00066142">
              <w:rPr>
                <w:rFonts w:ascii="Calibri" w:eastAsia="Times New Roman" w:hAnsi="Calibri" w:cs="Times New Roman"/>
              </w:rPr>
              <w:t>UT-Austin</w:t>
            </w:r>
          </w:p>
        </w:tc>
        <w:tc>
          <w:tcPr>
            <w:tcW w:w="1455" w:type="dxa"/>
            <w:tcBorders>
              <w:top w:val="nil"/>
              <w:left w:val="nil"/>
              <w:bottom w:val="single" w:sz="4" w:space="0" w:color="auto"/>
              <w:right w:val="single" w:sz="4" w:space="0" w:color="auto"/>
            </w:tcBorders>
            <w:shd w:val="clear" w:color="auto" w:fill="auto"/>
            <w:noWrap/>
            <w:vAlign w:val="bottom"/>
            <w:hideMark/>
          </w:tcPr>
          <w:p w14:paraId="1042F6EE" w14:textId="07B58C34" w:rsidR="0007798E" w:rsidRPr="00066142" w:rsidRDefault="0007798E" w:rsidP="006E56A1">
            <w:pPr>
              <w:jc w:val="right"/>
              <w:rPr>
                <w:rFonts w:ascii="Calibri" w:eastAsia="Times New Roman" w:hAnsi="Calibri" w:cs="Times New Roman"/>
              </w:rPr>
            </w:pPr>
            <w:r>
              <w:rPr>
                <w:rFonts w:ascii="Calibri" w:eastAsia="Times New Roman" w:hAnsi="Calibri" w:cs="Times New Roman"/>
              </w:rPr>
              <w:t>$9,232</w:t>
            </w:r>
          </w:p>
        </w:tc>
      </w:tr>
      <w:tr w:rsidR="0007798E" w:rsidRPr="00066142" w14:paraId="302EFCEE" w14:textId="77777777" w:rsidTr="002C6E0B">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8F829E4" w14:textId="2668C492" w:rsidR="0007798E" w:rsidRPr="00066142" w:rsidRDefault="0007798E" w:rsidP="00DB7993">
            <w:pPr>
              <w:rPr>
                <w:rFonts w:ascii="Calibri" w:eastAsia="Times New Roman" w:hAnsi="Calibri" w:cs="Times New Roman"/>
              </w:rPr>
            </w:pPr>
            <w:r w:rsidRPr="00066142">
              <w:rPr>
                <w:rFonts w:ascii="Calibri" w:eastAsia="Times New Roman" w:hAnsi="Calibri" w:cs="Times New Roman"/>
              </w:rPr>
              <w:t>Texas A&amp;M</w:t>
            </w:r>
          </w:p>
        </w:tc>
        <w:tc>
          <w:tcPr>
            <w:tcW w:w="1455" w:type="dxa"/>
            <w:tcBorders>
              <w:top w:val="nil"/>
              <w:left w:val="nil"/>
              <w:bottom w:val="single" w:sz="4" w:space="0" w:color="auto"/>
              <w:right w:val="single" w:sz="4" w:space="0" w:color="auto"/>
            </w:tcBorders>
            <w:shd w:val="clear" w:color="auto" w:fill="auto"/>
            <w:noWrap/>
            <w:vAlign w:val="bottom"/>
            <w:hideMark/>
          </w:tcPr>
          <w:p w14:paraId="136BF8A8" w14:textId="5541C9EE" w:rsidR="0007798E" w:rsidRPr="00066142" w:rsidRDefault="0007798E" w:rsidP="0007798E">
            <w:pPr>
              <w:jc w:val="right"/>
              <w:rPr>
                <w:rFonts w:ascii="Calibri" w:eastAsia="Times New Roman" w:hAnsi="Calibri" w:cs="Times New Roman"/>
              </w:rPr>
            </w:pPr>
            <w:r>
              <w:rPr>
                <w:rFonts w:ascii="Calibri" w:eastAsia="Times New Roman" w:hAnsi="Calibri" w:cs="Times New Roman"/>
              </w:rPr>
              <w:t>$7,326</w:t>
            </w:r>
          </w:p>
        </w:tc>
      </w:tr>
    </w:tbl>
    <w:p w14:paraId="7BB0471E" w14:textId="77777777" w:rsidR="002C6E0B" w:rsidRDefault="002C6E0B" w:rsidP="00E05CF5"/>
    <w:p w14:paraId="34A53C51" w14:textId="77777777" w:rsidR="002C6E0B" w:rsidRDefault="002C6E0B" w:rsidP="00E05CF5"/>
    <w:p w14:paraId="3518695B" w14:textId="77777777" w:rsidR="00E05CF5" w:rsidRDefault="00E05CF5"/>
    <w:p w14:paraId="2070CB56" w14:textId="77777777" w:rsidR="005F649A" w:rsidRDefault="005F649A"/>
    <w:p w14:paraId="22355F50" w14:textId="77777777" w:rsidR="005F649A" w:rsidRDefault="005F649A"/>
    <w:sectPr w:rsidR="005F649A" w:rsidSect="00D8072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D3A24" w14:textId="77777777" w:rsidR="00405966" w:rsidRDefault="00405966" w:rsidP="0071197E">
      <w:r>
        <w:separator/>
      </w:r>
    </w:p>
  </w:endnote>
  <w:endnote w:type="continuationSeparator" w:id="0">
    <w:p w14:paraId="4D1B933D" w14:textId="77777777" w:rsidR="00405966" w:rsidRDefault="00405966" w:rsidP="0071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09A1B" w14:textId="77777777" w:rsidR="00405966" w:rsidRDefault="00405966" w:rsidP="0071197E">
      <w:r>
        <w:separator/>
      </w:r>
    </w:p>
  </w:footnote>
  <w:footnote w:type="continuationSeparator" w:id="0">
    <w:p w14:paraId="13A491E5" w14:textId="77777777" w:rsidR="00405966" w:rsidRDefault="00405966" w:rsidP="0071197E">
      <w:r>
        <w:continuationSeparator/>
      </w:r>
    </w:p>
  </w:footnote>
  <w:footnote w:id="1">
    <w:p w14:paraId="214D5FFA" w14:textId="77777777" w:rsidR="00405966" w:rsidRPr="00DF46BC" w:rsidRDefault="00405966" w:rsidP="00E17588">
      <w:pPr>
        <w:pStyle w:val="FootnoteText"/>
        <w:rPr>
          <w:rFonts w:ascii="Times New Roman" w:hAnsi="Times New Roman" w:cs="Times New Roman"/>
          <w:sz w:val="18"/>
          <w:szCs w:val="18"/>
        </w:rPr>
      </w:pPr>
      <w:r w:rsidRPr="00DF46BC">
        <w:rPr>
          <w:rStyle w:val="FootnoteReference"/>
          <w:rFonts w:ascii="Times New Roman" w:hAnsi="Times New Roman" w:cs="Times New Roman"/>
          <w:sz w:val="18"/>
          <w:szCs w:val="18"/>
        </w:rPr>
        <w:footnoteRef/>
      </w:r>
      <w:r w:rsidRPr="00DF46BC">
        <w:rPr>
          <w:rFonts w:ascii="Times New Roman" w:hAnsi="Times New Roman" w:cs="Times New Roman"/>
          <w:sz w:val="18"/>
          <w:szCs w:val="18"/>
        </w:rPr>
        <w:t xml:space="preserve"> http://edms.asee.org/</w:t>
      </w:r>
    </w:p>
  </w:footnote>
  <w:footnote w:id="2">
    <w:p w14:paraId="6DAF25F1" w14:textId="77777777" w:rsidR="00405966" w:rsidRPr="00DF46BC" w:rsidRDefault="00405966" w:rsidP="00E17588">
      <w:pPr>
        <w:autoSpaceDE w:val="0"/>
        <w:autoSpaceDN w:val="0"/>
        <w:adjustRightInd w:val="0"/>
        <w:rPr>
          <w:rFonts w:ascii="Times New Roman" w:hAnsi="Times New Roman" w:cs="Times New Roman"/>
          <w:sz w:val="18"/>
          <w:szCs w:val="18"/>
        </w:rPr>
      </w:pPr>
      <w:r w:rsidRPr="00DF46BC">
        <w:rPr>
          <w:rStyle w:val="FootnoteReference"/>
          <w:rFonts w:ascii="Times New Roman" w:hAnsi="Times New Roman" w:cs="Times New Roman"/>
          <w:sz w:val="18"/>
          <w:szCs w:val="18"/>
        </w:rPr>
        <w:footnoteRef/>
      </w:r>
      <w:r w:rsidRPr="00DF46BC">
        <w:rPr>
          <w:rFonts w:ascii="Times New Roman" w:hAnsi="Times New Roman" w:cs="Times New Roman"/>
          <w:sz w:val="18"/>
          <w:szCs w:val="18"/>
        </w:rPr>
        <w:t xml:space="preserve"> </w:t>
      </w:r>
      <w:r>
        <w:rPr>
          <w:rFonts w:ascii="Times New Roman" w:hAnsi="Times New Roman" w:cs="Times New Roman"/>
          <w:sz w:val="18"/>
          <w:szCs w:val="18"/>
        </w:rPr>
        <w:t>N.C. State</w:t>
      </w:r>
      <w:r w:rsidRPr="00DF46BC">
        <w:rPr>
          <w:rFonts w:ascii="Times New Roman" w:hAnsi="Times New Roman" w:cs="Times New Roman"/>
          <w:sz w:val="18"/>
          <w:szCs w:val="18"/>
        </w:rPr>
        <w:t xml:space="preserve"> Report by the Task Force on Review of </w:t>
      </w:r>
      <w:r>
        <w:rPr>
          <w:rFonts w:ascii="Times New Roman" w:hAnsi="Times New Roman" w:cs="Times New Roman"/>
          <w:sz w:val="18"/>
          <w:szCs w:val="18"/>
        </w:rPr>
        <w:t>N.C. State</w:t>
      </w:r>
      <w:r w:rsidRPr="00DF46BC">
        <w:rPr>
          <w:rFonts w:ascii="Times New Roman" w:hAnsi="Times New Roman" w:cs="Times New Roman"/>
          <w:sz w:val="18"/>
          <w:szCs w:val="18"/>
        </w:rPr>
        <w:t xml:space="preserve"> Academic Programs, October 15,2012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322C" w14:textId="0103514D" w:rsidR="00405966" w:rsidRPr="000D4DC2" w:rsidRDefault="00405966" w:rsidP="000D4DC2">
    <w:pPr>
      <w:pStyle w:val="Header"/>
      <w:tabs>
        <w:tab w:val="clear" w:pos="9360"/>
        <w:tab w:val="right" w:pos="8640"/>
      </w:tabs>
      <w:rPr>
        <w:sz w:val="18"/>
      </w:rPr>
    </w:pPr>
    <w:r w:rsidRPr="000D4DC2">
      <w:rPr>
        <w:sz w:val="18"/>
      </w:rPr>
      <w:tab/>
    </w:r>
    <w:r w:rsidRPr="000D4DC2">
      <w:rPr>
        <w:sz w:val="18"/>
      </w:rPr>
      <w:tab/>
      <w:t xml:space="preserve">Page </w:t>
    </w:r>
    <w:r w:rsidRPr="000D4DC2">
      <w:rPr>
        <w:b/>
        <w:sz w:val="18"/>
      </w:rPr>
      <w:fldChar w:fldCharType="begin"/>
    </w:r>
    <w:r w:rsidRPr="000D4DC2">
      <w:rPr>
        <w:b/>
        <w:sz w:val="18"/>
      </w:rPr>
      <w:instrText xml:space="preserve"> PAGE  \* Arabic  \* MERGEFORMAT </w:instrText>
    </w:r>
    <w:r w:rsidRPr="000D4DC2">
      <w:rPr>
        <w:b/>
        <w:sz w:val="18"/>
      </w:rPr>
      <w:fldChar w:fldCharType="separate"/>
    </w:r>
    <w:r w:rsidR="003F3AC7">
      <w:rPr>
        <w:b/>
        <w:noProof/>
        <w:sz w:val="18"/>
      </w:rPr>
      <w:t>8</w:t>
    </w:r>
    <w:r w:rsidRPr="000D4DC2">
      <w:rPr>
        <w:b/>
        <w:sz w:val="18"/>
      </w:rPr>
      <w:fldChar w:fldCharType="end"/>
    </w:r>
    <w:r w:rsidRPr="000D4DC2">
      <w:rPr>
        <w:sz w:val="18"/>
      </w:rPr>
      <w:t xml:space="preserve"> of </w:t>
    </w:r>
    <w:r w:rsidRPr="000D4DC2">
      <w:rPr>
        <w:b/>
        <w:sz w:val="18"/>
      </w:rPr>
      <w:fldChar w:fldCharType="begin"/>
    </w:r>
    <w:r w:rsidRPr="000D4DC2">
      <w:rPr>
        <w:b/>
        <w:sz w:val="18"/>
      </w:rPr>
      <w:instrText xml:space="preserve"> NUMPAGES  \* Arabic  \* MERGEFORMAT </w:instrText>
    </w:r>
    <w:r w:rsidRPr="000D4DC2">
      <w:rPr>
        <w:b/>
        <w:sz w:val="18"/>
      </w:rPr>
      <w:fldChar w:fldCharType="separate"/>
    </w:r>
    <w:r w:rsidR="003F3AC7">
      <w:rPr>
        <w:b/>
        <w:noProof/>
        <w:sz w:val="18"/>
      </w:rPr>
      <w:t>10</w:t>
    </w:r>
    <w:r w:rsidRPr="000D4DC2">
      <w:rPr>
        <w:b/>
        <w:sz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146B"/>
    <w:multiLevelType w:val="hybridMultilevel"/>
    <w:tmpl w:val="0E6805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9B127EE"/>
    <w:multiLevelType w:val="hybridMultilevel"/>
    <w:tmpl w:val="DAA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47539"/>
    <w:multiLevelType w:val="hybridMultilevel"/>
    <w:tmpl w:val="D5026D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144DC"/>
    <w:multiLevelType w:val="hybridMultilevel"/>
    <w:tmpl w:val="0F440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F5A06"/>
    <w:multiLevelType w:val="hybridMultilevel"/>
    <w:tmpl w:val="E1F4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651CC"/>
    <w:multiLevelType w:val="hybridMultilevel"/>
    <w:tmpl w:val="69FEA340"/>
    <w:lvl w:ilvl="0" w:tplc="B956A3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80DD1"/>
    <w:multiLevelType w:val="hybridMultilevel"/>
    <w:tmpl w:val="8540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5E1F29"/>
    <w:multiLevelType w:val="hybridMultilevel"/>
    <w:tmpl w:val="08180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27ED0"/>
    <w:multiLevelType w:val="hybridMultilevel"/>
    <w:tmpl w:val="7FBA8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18"/>
    <w:rsid w:val="000116CB"/>
    <w:rsid w:val="00012E59"/>
    <w:rsid w:val="00021436"/>
    <w:rsid w:val="00023527"/>
    <w:rsid w:val="00037BC6"/>
    <w:rsid w:val="00056651"/>
    <w:rsid w:val="00057146"/>
    <w:rsid w:val="000603A3"/>
    <w:rsid w:val="00067F23"/>
    <w:rsid w:val="0007798E"/>
    <w:rsid w:val="0008293C"/>
    <w:rsid w:val="00082DE5"/>
    <w:rsid w:val="00093268"/>
    <w:rsid w:val="0009543E"/>
    <w:rsid w:val="00096A2D"/>
    <w:rsid w:val="000B185D"/>
    <w:rsid w:val="000B7439"/>
    <w:rsid w:val="000C1E21"/>
    <w:rsid w:val="000D1761"/>
    <w:rsid w:val="000D4DC2"/>
    <w:rsid w:val="00105FC3"/>
    <w:rsid w:val="0010611D"/>
    <w:rsid w:val="00110391"/>
    <w:rsid w:val="001123EC"/>
    <w:rsid w:val="00167565"/>
    <w:rsid w:val="00175AB1"/>
    <w:rsid w:val="001764AF"/>
    <w:rsid w:val="0017710E"/>
    <w:rsid w:val="00183322"/>
    <w:rsid w:val="00184EE7"/>
    <w:rsid w:val="001942A5"/>
    <w:rsid w:val="001947F2"/>
    <w:rsid w:val="00195D7E"/>
    <w:rsid w:val="001A3018"/>
    <w:rsid w:val="001B5D9C"/>
    <w:rsid w:val="001C6E68"/>
    <w:rsid w:val="001D24D5"/>
    <w:rsid w:val="001D6301"/>
    <w:rsid w:val="001F235D"/>
    <w:rsid w:val="001F574A"/>
    <w:rsid w:val="00205A11"/>
    <w:rsid w:val="002212AF"/>
    <w:rsid w:val="002247C6"/>
    <w:rsid w:val="002249A7"/>
    <w:rsid w:val="0023463C"/>
    <w:rsid w:val="00242E88"/>
    <w:rsid w:val="00243B98"/>
    <w:rsid w:val="00260B76"/>
    <w:rsid w:val="00264EE3"/>
    <w:rsid w:val="00272BE7"/>
    <w:rsid w:val="002753EF"/>
    <w:rsid w:val="00275AD7"/>
    <w:rsid w:val="00293ED3"/>
    <w:rsid w:val="00295D63"/>
    <w:rsid w:val="002B110B"/>
    <w:rsid w:val="002B27D8"/>
    <w:rsid w:val="002B4282"/>
    <w:rsid w:val="002C6E0B"/>
    <w:rsid w:val="002E1389"/>
    <w:rsid w:val="002E4DB5"/>
    <w:rsid w:val="002E58C2"/>
    <w:rsid w:val="002E5C3C"/>
    <w:rsid w:val="00302B27"/>
    <w:rsid w:val="00322114"/>
    <w:rsid w:val="003233A1"/>
    <w:rsid w:val="0032498F"/>
    <w:rsid w:val="00351336"/>
    <w:rsid w:val="003549CF"/>
    <w:rsid w:val="00361092"/>
    <w:rsid w:val="0036322D"/>
    <w:rsid w:val="0037726A"/>
    <w:rsid w:val="003807CF"/>
    <w:rsid w:val="0038214D"/>
    <w:rsid w:val="003863A5"/>
    <w:rsid w:val="00386A0C"/>
    <w:rsid w:val="003A1B22"/>
    <w:rsid w:val="003B732B"/>
    <w:rsid w:val="003C0709"/>
    <w:rsid w:val="003C0BA4"/>
    <w:rsid w:val="003C363A"/>
    <w:rsid w:val="003C6DEA"/>
    <w:rsid w:val="003D1585"/>
    <w:rsid w:val="003E0873"/>
    <w:rsid w:val="003F3AC7"/>
    <w:rsid w:val="00405966"/>
    <w:rsid w:val="00407B58"/>
    <w:rsid w:val="00410019"/>
    <w:rsid w:val="0041488E"/>
    <w:rsid w:val="004203C4"/>
    <w:rsid w:val="004218F4"/>
    <w:rsid w:val="00422AD2"/>
    <w:rsid w:val="00422B6C"/>
    <w:rsid w:val="00430F5B"/>
    <w:rsid w:val="00475241"/>
    <w:rsid w:val="0048503D"/>
    <w:rsid w:val="0048601C"/>
    <w:rsid w:val="00490E60"/>
    <w:rsid w:val="004910F1"/>
    <w:rsid w:val="0049208F"/>
    <w:rsid w:val="004A4F4B"/>
    <w:rsid w:val="004A5B2C"/>
    <w:rsid w:val="004B5EDF"/>
    <w:rsid w:val="004D3299"/>
    <w:rsid w:val="004D6995"/>
    <w:rsid w:val="004D795C"/>
    <w:rsid w:val="004E133B"/>
    <w:rsid w:val="004E1AE5"/>
    <w:rsid w:val="00500765"/>
    <w:rsid w:val="005012F3"/>
    <w:rsid w:val="0050740D"/>
    <w:rsid w:val="00521C0F"/>
    <w:rsid w:val="00523F18"/>
    <w:rsid w:val="00540FB9"/>
    <w:rsid w:val="0054709E"/>
    <w:rsid w:val="00556136"/>
    <w:rsid w:val="0056022F"/>
    <w:rsid w:val="00565867"/>
    <w:rsid w:val="00573DFD"/>
    <w:rsid w:val="0059638E"/>
    <w:rsid w:val="00596918"/>
    <w:rsid w:val="00597A86"/>
    <w:rsid w:val="005A59A2"/>
    <w:rsid w:val="005B38AF"/>
    <w:rsid w:val="005B7FF2"/>
    <w:rsid w:val="005C3521"/>
    <w:rsid w:val="005C3549"/>
    <w:rsid w:val="005E2B1A"/>
    <w:rsid w:val="005F28B3"/>
    <w:rsid w:val="005F649A"/>
    <w:rsid w:val="005F71F9"/>
    <w:rsid w:val="005F7F4A"/>
    <w:rsid w:val="00601D0D"/>
    <w:rsid w:val="00610CA9"/>
    <w:rsid w:val="006331D9"/>
    <w:rsid w:val="0066043B"/>
    <w:rsid w:val="006624F1"/>
    <w:rsid w:val="00664397"/>
    <w:rsid w:val="00670D22"/>
    <w:rsid w:val="00683EB1"/>
    <w:rsid w:val="006947F8"/>
    <w:rsid w:val="006A2670"/>
    <w:rsid w:val="006A5209"/>
    <w:rsid w:val="006A6FB0"/>
    <w:rsid w:val="006B1157"/>
    <w:rsid w:val="006B5222"/>
    <w:rsid w:val="006D154F"/>
    <w:rsid w:val="006E56A1"/>
    <w:rsid w:val="006F20F4"/>
    <w:rsid w:val="00704E5E"/>
    <w:rsid w:val="007055E4"/>
    <w:rsid w:val="00711922"/>
    <w:rsid w:val="0071197E"/>
    <w:rsid w:val="007178C7"/>
    <w:rsid w:val="00725C33"/>
    <w:rsid w:val="007438E9"/>
    <w:rsid w:val="007645A9"/>
    <w:rsid w:val="00782E5D"/>
    <w:rsid w:val="00787DFE"/>
    <w:rsid w:val="00795D52"/>
    <w:rsid w:val="007B53C7"/>
    <w:rsid w:val="007C4E70"/>
    <w:rsid w:val="007E5339"/>
    <w:rsid w:val="007F4603"/>
    <w:rsid w:val="007F66F9"/>
    <w:rsid w:val="00807C38"/>
    <w:rsid w:val="0081700A"/>
    <w:rsid w:val="0082498E"/>
    <w:rsid w:val="00826959"/>
    <w:rsid w:val="00826A30"/>
    <w:rsid w:val="00844C75"/>
    <w:rsid w:val="00846BE0"/>
    <w:rsid w:val="00856285"/>
    <w:rsid w:val="00857E45"/>
    <w:rsid w:val="00885D1E"/>
    <w:rsid w:val="00891B9D"/>
    <w:rsid w:val="0089560A"/>
    <w:rsid w:val="008B42A3"/>
    <w:rsid w:val="008B4BF8"/>
    <w:rsid w:val="008D6F5F"/>
    <w:rsid w:val="008F2272"/>
    <w:rsid w:val="008F290A"/>
    <w:rsid w:val="00904D32"/>
    <w:rsid w:val="00911641"/>
    <w:rsid w:val="00921EE7"/>
    <w:rsid w:val="009709EC"/>
    <w:rsid w:val="00973EC0"/>
    <w:rsid w:val="009740F9"/>
    <w:rsid w:val="00981611"/>
    <w:rsid w:val="00984934"/>
    <w:rsid w:val="00984F12"/>
    <w:rsid w:val="00992E17"/>
    <w:rsid w:val="009B6CCB"/>
    <w:rsid w:val="009C4DE9"/>
    <w:rsid w:val="009D1B40"/>
    <w:rsid w:val="009F0EE5"/>
    <w:rsid w:val="009F29AA"/>
    <w:rsid w:val="009F3F9B"/>
    <w:rsid w:val="009F6A47"/>
    <w:rsid w:val="00A0346F"/>
    <w:rsid w:val="00A109CB"/>
    <w:rsid w:val="00A17916"/>
    <w:rsid w:val="00A405E2"/>
    <w:rsid w:val="00A40F73"/>
    <w:rsid w:val="00A42EC5"/>
    <w:rsid w:val="00A439CA"/>
    <w:rsid w:val="00A54F04"/>
    <w:rsid w:val="00A6250C"/>
    <w:rsid w:val="00A6379B"/>
    <w:rsid w:val="00A73489"/>
    <w:rsid w:val="00A843E1"/>
    <w:rsid w:val="00AA70DA"/>
    <w:rsid w:val="00AB59F7"/>
    <w:rsid w:val="00AB5DB2"/>
    <w:rsid w:val="00AC7408"/>
    <w:rsid w:val="00AE173A"/>
    <w:rsid w:val="00AE1C4D"/>
    <w:rsid w:val="00AE37AF"/>
    <w:rsid w:val="00AE70DD"/>
    <w:rsid w:val="00B00B27"/>
    <w:rsid w:val="00B0422D"/>
    <w:rsid w:val="00B4790F"/>
    <w:rsid w:val="00B528AA"/>
    <w:rsid w:val="00B75196"/>
    <w:rsid w:val="00B80ED0"/>
    <w:rsid w:val="00B837F2"/>
    <w:rsid w:val="00B8527C"/>
    <w:rsid w:val="00BC12B2"/>
    <w:rsid w:val="00BC4446"/>
    <w:rsid w:val="00BE2ABC"/>
    <w:rsid w:val="00BF35BF"/>
    <w:rsid w:val="00C006EE"/>
    <w:rsid w:val="00C008F6"/>
    <w:rsid w:val="00C01A74"/>
    <w:rsid w:val="00C02A45"/>
    <w:rsid w:val="00C14E5E"/>
    <w:rsid w:val="00C16367"/>
    <w:rsid w:val="00C1649A"/>
    <w:rsid w:val="00C21497"/>
    <w:rsid w:val="00C2187F"/>
    <w:rsid w:val="00C230FA"/>
    <w:rsid w:val="00C275B0"/>
    <w:rsid w:val="00C27A95"/>
    <w:rsid w:val="00C348C4"/>
    <w:rsid w:val="00C56601"/>
    <w:rsid w:val="00C60CBA"/>
    <w:rsid w:val="00C66998"/>
    <w:rsid w:val="00C7045F"/>
    <w:rsid w:val="00C70510"/>
    <w:rsid w:val="00C868AD"/>
    <w:rsid w:val="00C86B09"/>
    <w:rsid w:val="00C92470"/>
    <w:rsid w:val="00CB4559"/>
    <w:rsid w:val="00CD3562"/>
    <w:rsid w:val="00CE128B"/>
    <w:rsid w:val="00D05D39"/>
    <w:rsid w:val="00D13F20"/>
    <w:rsid w:val="00D21194"/>
    <w:rsid w:val="00D31645"/>
    <w:rsid w:val="00D625AD"/>
    <w:rsid w:val="00D62644"/>
    <w:rsid w:val="00D750C1"/>
    <w:rsid w:val="00D80728"/>
    <w:rsid w:val="00D82E7E"/>
    <w:rsid w:val="00D8543B"/>
    <w:rsid w:val="00D972FC"/>
    <w:rsid w:val="00DA7702"/>
    <w:rsid w:val="00DB3F17"/>
    <w:rsid w:val="00DB67EA"/>
    <w:rsid w:val="00DB700A"/>
    <w:rsid w:val="00DB7993"/>
    <w:rsid w:val="00DC72C7"/>
    <w:rsid w:val="00DD3462"/>
    <w:rsid w:val="00DD35D2"/>
    <w:rsid w:val="00DD7DC4"/>
    <w:rsid w:val="00DE3E9B"/>
    <w:rsid w:val="00DF46BC"/>
    <w:rsid w:val="00E05CF5"/>
    <w:rsid w:val="00E1199E"/>
    <w:rsid w:val="00E17588"/>
    <w:rsid w:val="00E21608"/>
    <w:rsid w:val="00E32BC5"/>
    <w:rsid w:val="00E34085"/>
    <w:rsid w:val="00E40E21"/>
    <w:rsid w:val="00E47726"/>
    <w:rsid w:val="00E544F1"/>
    <w:rsid w:val="00E64B3A"/>
    <w:rsid w:val="00E65CA6"/>
    <w:rsid w:val="00E83BB0"/>
    <w:rsid w:val="00ED2A14"/>
    <w:rsid w:val="00ED7E42"/>
    <w:rsid w:val="00EE6203"/>
    <w:rsid w:val="00EF6994"/>
    <w:rsid w:val="00F005FD"/>
    <w:rsid w:val="00F06562"/>
    <w:rsid w:val="00F177E7"/>
    <w:rsid w:val="00F25BBF"/>
    <w:rsid w:val="00F260F6"/>
    <w:rsid w:val="00F45C89"/>
    <w:rsid w:val="00F472EA"/>
    <w:rsid w:val="00F47300"/>
    <w:rsid w:val="00F4766B"/>
    <w:rsid w:val="00F65775"/>
    <w:rsid w:val="00F95E86"/>
    <w:rsid w:val="00F96107"/>
    <w:rsid w:val="00FA0FA5"/>
    <w:rsid w:val="00FA6725"/>
    <w:rsid w:val="00FB06E6"/>
    <w:rsid w:val="00FB0AF1"/>
    <w:rsid w:val="00FB492F"/>
    <w:rsid w:val="00FD4C9F"/>
    <w:rsid w:val="00FD6791"/>
    <w:rsid w:val="00FD7297"/>
    <w:rsid w:val="00FE4521"/>
    <w:rsid w:val="00FE6252"/>
    <w:rsid w:val="00FE6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60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18"/>
    <w:pPr>
      <w:ind w:left="720"/>
      <w:contextualSpacing/>
    </w:pPr>
  </w:style>
  <w:style w:type="table" w:styleId="TableGrid">
    <w:name w:val="Table Grid"/>
    <w:basedOn w:val="TableNormal"/>
    <w:uiPriority w:val="59"/>
    <w:rsid w:val="00AE7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45F"/>
    <w:rPr>
      <w:rFonts w:ascii="Tahoma" w:hAnsi="Tahoma" w:cs="Tahoma"/>
      <w:sz w:val="16"/>
      <w:szCs w:val="16"/>
    </w:rPr>
  </w:style>
  <w:style w:type="character" w:customStyle="1" w:styleId="BalloonTextChar">
    <w:name w:val="Balloon Text Char"/>
    <w:basedOn w:val="DefaultParagraphFont"/>
    <w:link w:val="BalloonText"/>
    <w:uiPriority w:val="99"/>
    <w:semiHidden/>
    <w:rsid w:val="00C7045F"/>
    <w:rPr>
      <w:rFonts w:ascii="Tahoma" w:hAnsi="Tahoma" w:cs="Tahoma"/>
      <w:sz w:val="16"/>
      <w:szCs w:val="16"/>
    </w:rPr>
  </w:style>
  <w:style w:type="character" w:styleId="CommentReference">
    <w:name w:val="annotation reference"/>
    <w:basedOn w:val="DefaultParagraphFont"/>
    <w:uiPriority w:val="99"/>
    <w:semiHidden/>
    <w:unhideWhenUsed/>
    <w:rsid w:val="00C7045F"/>
    <w:rPr>
      <w:sz w:val="16"/>
      <w:szCs w:val="16"/>
    </w:rPr>
  </w:style>
  <w:style w:type="paragraph" w:styleId="CommentText">
    <w:name w:val="annotation text"/>
    <w:basedOn w:val="Normal"/>
    <w:link w:val="CommentTextChar"/>
    <w:uiPriority w:val="99"/>
    <w:semiHidden/>
    <w:unhideWhenUsed/>
    <w:rsid w:val="00C7045F"/>
    <w:rPr>
      <w:sz w:val="20"/>
      <w:szCs w:val="20"/>
    </w:rPr>
  </w:style>
  <w:style w:type="character" w:customStyle="1" w:styleId="CommentTextChar">
    <w:name w:val="Comment Text Char"/>
    <w:basedOn w:val="DefaultParagraphFont"/>
    <w:link w:val="CommentText"/>
    <w:uiPriority w:val="99"/>
    <w:semiHidden/>
    <w:rsid w:val="00C7045F"/>
    <w:rPr>
      <w:sz w:val="20"/>
      <w:szCs w:val="20"/>
    </w:rPr>
  </w:style>
  <w:style w:type="paragraph" w:styleId="CommentSubject">
    <w:name w:val="annotation subject"/>
    <w:basedOn w:val="CommentText"/>
    <w:next w:val="CommentText"/>
    <w:link w:val="CommentSubjectChar"/>
    <w:uiPriority w:val="99"/>
    <w:semiHidden/>
    <w:unhideWhenUsed/>
    <w:rsid w:val="00C7045F"/>
    <w:rPr>
      <w:b/>
      <w:bCs/>
    </w:rPr>
  </w:style>
  <w:style w:type="character" w:customStyle="1" w:styleId="CommentSubjectChar">
    <w:name w:val="Comment Subject Char"/>
    <w:basedOn w:val="CommentTextChar"/>
    <w:link w:val="CommentSubject"/>
    <w:uiPriority w:val="99"/>
    <w:semiHidden/>
    <w:rsid w:val="00C7045F"/>
    <w:rPr>
      <w:b/>
      <w:bCs/>
      <w:sz w:val="20"/>
      <w:szCs w:val="20"/>
    </w:rPr>
  </w:style>
  <w:style w:type="paragraph" w:styleId="FootnoteText">
    <w:name w:val="footnote text"/>
    <w:basedOn w:val="Normal"/>
    <w:link w:val="FootnoteTextChar"/>
    <w:uiPriority w:val="99"/>
    <w:unhideWhenUsed/>
    <w:rsid w:val="0071197E"/>
    <w:rPr>
      <w:sz w:val="20"/>
      <w:szCs w:val="20"/>
    </w:rPr>
  </w:style>
  <w:style w:type="character" w:customStyle="1" w:styleId="FootnoteTextChar">
    <w:name w:val="Footnote Text Char"/>
    <w:basedOn w:val="DefaultParagraphFont"/>
    <w:link w:val="FootnoteText"/>
    <w:uiPriority w:val="99"/>
    <w:rsid w:val="0071197E"/>
    <w:rPr>
      <w:sz w:val="20"/>
      <w:szCs w:val="20"/>
    </w:rPr>
  </w:style>
  <w:style w:type="character" w:styleId="FootnoteReference">
    <w:name w:val="footnote reference"/>
    <w:basedOn w:val="DefaultParagraphFont"/>
    <w:uiPriority w:val="99"/>
    <w:unhideWhenUsed/>
    <w:rsid w:val="0071197E"/>
    <w:rPr>
      <w:vertAlign w:val="superscript"/>
    </w:rPr>
  </w:style>
  <w:style w:type="paragraph" w:styleId="Header">
    <w:name w:val="header"/>
    <w:basedOn w:val="Normal"/>
    <w:link w:val="HeaderChar"/>
    <w:uiPriority w:val="99"/>
    <w:unhideWhenUsed/>
    <w:rsid w:val="00664397"/>
    <w:pPr>
      <w:tabs>
        <w:tab w:val="center" w:pos="4680"/>
        <w:tab w:val="right" w:pos="9360"/>
      </w:tabs>
    </w:pPr>
  </w:style>
  <w:style w:type="character" w:customStyle="1" w:styleId="HeaderChar">
    <w:name w:val="Header Char"/>
    <w:basedOn w:val="DefaultParagraphFont"/>
    <w:link w:val="Header"/>
    <w:uiPriority w:val="99"/>
    <w:rsid w:val="00664397"/>
  </w:style>
  <w:style w:type="paragraph" w:styleId="Footer">
    <w:name w:val="footer"/>
    <w:basedOn w:val="Normal"/>
    <w:link w:val="FooterChar"/>
    <w:uiPriority w:val="99"/>
    <w:unhideWhenUsed/>
    <w:rsid w:val="00664397"/>
    <w:pPr>
      <w:tabs>
        <w:tab w:val="center" w:pos="4680"/>
        <w:tab w:val="right" w:pos="9360"/>
      </w:tabs>
    </w:pPr>
  </w:style>
  <w:style w:type="character" w:customStyle="1" w:styleId="FooterChar">
    <w:name w:val="Footer Char"/>
    <w:basedOn w:val="DefaultParagraphFont"/>
    <w:link w:val="Footer"/>
    <w:uiPriority w:val="99"/>
    <w:rsid w:val="006643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18"/>
    <w:pPr>
      <w:ind w:left="720"/>
      <w:contextualSpacing/>
    </w:pPr>
  </w:style>
  <w:style w:type="table" w:styleId="TableGrid">
    <w:name w:val="Table Grid"/>
    <w:basedOn w:val="TableNormal"/>
    <w:uiPriority w:val="59"/>
    <w:rsid w:val="00AE7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45F"/>
    <w:rPr>
      <w:rFonts w:ascii="Tahoma" w:hAnsi="Tahoma" w:cs="Tahoma"/>
      <w:sz w:val="16"/>
      <w:szCs w:val="16"/>
    </w:rPr>
  </w:style>
  <w:style w:type="character" w:customStyle="1" w:styleId="BalloonTextChar">
    <w:name w:val="Balloon Text Char"/>
    <w:basedOn w:val="DefaultParagraphFont"/>
    <w:link w:val="BalloonText"/>
    <w:uiPriority w:val="99"/>
    <w:semiHidden/>
    <w:rsid w:val="00C7045F"/>
    <w:rPr>
      <w:rFonts w:ascii="Tahoma" w:hAnsi="Tahoma" w:cs="Tahoma"/>
      <w:sz w:val="16"/>
      <w:szCs w:val="16"/>
    </w:rPr>
  </w:style>
  <w:style w:type="character" w:styleId="CommentReference">
    <w:name w:val="annotation reference"/>
    <w:basedOn w:val="DefaultParagraphFont"/>
    <w:uiPriority w:val="99"/>
    <w:semiHidden/>
    <w:unhideWhenUsed/>
    <w:rsid w:val="00C7045F"/>
    <w:rPr>
      <w:sz w:val="16"/>
      <w:szCs w:val="16"/>
    </w:rPr>
  </w:style>
  <w:style w:type="paragraph" w:styleId="CommentText">
    <w:name w:val="annotation text"/>
    <w:basedOn w:val="Normal"/>
    <w:link w:val="CommentTextChar"/>
    <w:uiPriority w:val="99"/>
    <w:semiHidden/>
    <w:unhideWhenUsed/>
    <w:rsid w:val="00C7045F"/>
    <w:rPr>
      <w:sz w:val="20"/>
      <w:szCs w:val="20"/>
    </w:rPr>
  </w:style>
  <w:style w:type="character" w:customStyle="1" w:styleId="CommentTextChar">
    <w:name w:val="Comment Text Char"/>
    <w:basedOn w:val="DefaultParagraphFont"/>
    <w:link w:val="CommentText"/>
    <w:uiPriority w:val="99"/>
    <w:semiHidden/>
    <w:rsid w:val="00C7045F"/>
    <w:rPr>
      <w:sz w:val="20"/>
      <w:szCs w:val="20"/>
    </w:rPr>
  </w:style>
  <w:style w:type="paragraph" w:styleId="CommentSubject">
    <w:name w:val="annotation subject"/>
    <w:basedOn w:val="CommentText"/>
    <w:next w:val="CommentText"/>
    <w:link w:val="CommentSubjectChar"/>
    <w:uiPriority w:val="99"/>
    <w:semiHidden/>
    <w:unhideWhenUsed/>
    <w:rsid w:val="00C7045F"/>
    <w:rPr>
      <w:b/>
      <w:bCs/>
    </w:rPr>
  </w:style>
  <w:style w:type="character" w:customStyle="1" w:styleId="CommentSubjectChar">
    <w:name w:val="Comment Subject Char"/>
    <w:basedOn w:val="CommentTextChar"/>
    <w:link w:val="CommentSubject"/>
    <w:uiPriority w:val="99"/>
    <w:semiHidden/>
    <w:rsid w:val="00C7045F"/>
    <w:rPr>
      <w:b/>
      <w:bCs/>
      <w:sz w:val="20"/>
      <w:szCs w:val="20"/>
    </w:rPr>
  </w:style>
  <w:style w:type="paragraph" w:styleId="FootnoteText">
    <w:name w:val="footnote text"/>
    <w:basedOn w:val="Normal"/>
    <w:link w:val="FootnoteTextChar"/>
    <w:uiPriority w:val="99"/>
    <w:unhideWhenUsed/>
    <w:rsid w:val="0071197E"/>
    <w:rPr>
      <w:sz w:val="20"/>
      <w:szCs w:val="20"/>
    </w:rPr>
  </w:style>
  <w:style w:type="character" w:customStyle="1" w:styleId="FootnoteTextChar">
    <w:name w:val="Footnote Text Char"/>
    <w:basedOn w:val="DefaultParagraphFont"/>
    <w:link w:val="FootnoteText"/>
    <w:uiPriority w:val="99"/>
    <w:rsid w:val="0071197E"/>
    <w:rPr>
      <w:sz w:val="20"/>
      <w:szCs w:val="20"/>
    </w:rPr>
  </w:style>
  <w:style w:type="character" w:styleId="FootnoteReference">
    <w:name w:val="footnote reference"/>
    <w:basedOn w:val="DefaultParagraphFont"/>
    <w:uiPriority w:val="99"/>
    <w:unhideWhenUsed/>
    <w:rsid w:val="0071197E"/>
    <w:rPr>
      <w:vertAlign w:val="superscript"/>
    </w:rPr>
  </w:style>
  <w:style w:type="paragraph" w:styleId="Header">
    <w:name w:val="header"/>
    <w:basedOn w:val="Normal"/>
    <w:link w:val="HeaderChar"/>
    <w:uiPriority w:val="99"/>
    <w:unhideWhenUsed/>
    <w:rsid w:val="00664397"/>
    <w:pPr>
      <w:tabs>
        <w:tab w:val="center" w:pos="4680"/>
        <w:tab w:val="right" w:pos="9360"/>
      </w:tabs>
    </w:pPr>
  </w:style>
  <w:style w:type="character" w:customStyle="1" w:styleId="HeaderChar">
    <w:name w:val="Header Char"/>
    <w:basedOn w:val="DefaultParagraphFont"/>
    <w:link w:val="Header"/>
    <w:uiPriority w:val="99"/>
    <w:rsid w:val="00664397"/>
  </w:style>
  <w:style w:type="paragraph" w:styleId="Footer">
    <w:name w:val="footer"/>
    <w:basedOn w:val="Normal"/>
    <w:link w:val="FooterChar"/>
    <w:uiPriority w:val="99"/>
    <w:unhideWhenUsed/>
    <w:rsid w:val="00664397"/>
    <w:pPr>
      <w:tabs>
        <w:tab w:val="center" w:pos="4680"/>
        <w:tab w:val="right" w:pos="9360"/>
      </w:tabs>
    </w:pPr>
  </w:style>
  <w:style w:type="character" w:customStyle="1" w:styleId="FooterChar">
    <w:name w:val="Footer Char"/>
    <w:basedOn w:val="DefaultParagraphFont"/>
    <w:link w:val="Footer"/>
    <w:uiPriority w:val="99"/>
    <w:rsid w:val="0066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039D-7EEE-374A-A21C-ECF6D34B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2698</Words>
  <Characters>15379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Reeves</dc:creator>
  <cp:lastModifiedBy>George Rouskas</cp:lastModifiedBy>
  <cp:revision>3</cp:revision>
  <cp:lastPrinted>2013-08-30T20:38:00Z</cp:lastPrinted>
  <dcterms:created xsi:type="dcterms:W3CDTF">2016-09-01T22:46:00Z</dcterms:created>
  <dcterms:modified xsi:type="dcterms:W3CDTF">2016-09-01T22:47:00Z</dcterms:modified>
</cp:coreProperties>
</file>