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University Standing Committee for</w:t>
      </w:r>
    </w:p>
    <w:p w:rsidR="00000000" w:rsidDel="00000000" w:rsidP="00000000" w:rsidRDefault="00000000" w:rsidRPr="00000000">
      <w:pPr>
        <w:contextualSpacing w:val="0"/>
        <w:jc w:val="center"/>
      </w:pPr>
      <w:r w:rsidDel="00000000" w:rsidR="00000000" w:rsidRPr="00000000">
        <w:rPr>
          <w:b w:val="1"/>
          <w:sz w:val="28"/>
          <w:szCs w:val="28"/>
          <w:rtl w:val="0"/>
        </w:rPr>
        <w:t xml:space="preserve">Extension, Engagement, and Economic Development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Research III, Room 255</w:t>
      </w:r>
    </w:p>
    <w:p w:rsidR="00000000" w:rsidDel="00000000" w:rsidP="00000000" w:rsidRDefault="00000000" w:rsidRPr="00000000">
      <w:pPr>
        <w:contextualSpacing w:val="0"/>
        <w:jc w:val="center"/>
      </w:pPr>
      <w:r w:rsidDel="00000000" w:rsidR="00000000" w:rsidRPr="00000000">
        <w:rPr>
          <w:rtl w:val="0"/>
        </w:rPr>
        <w:t xml:space="preserve">2:00</w:t>
      </w:r>
      <w:r w:rsidDel="00000000" w:rsidR="00000000" w:rsidRPr="00000000">
        <w:rPr>
          <w:rtl w:val="0"/>
        </w:rPr>
        <w:t xml:space="preserve"> – 4:00 p.m. Friday, February 12, 2016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Members present</w:t>
      </w:r>
      <w:r w:rsidDel="00000000" w:rsidR="00000000" w:rsidRPr="00000000">
        <w:rPr>
          <w:rtl w:val="0"/>
        </w:rPr>
        <w:t xml:space="preserve">: Percy Hooper, Angkana Bode, Xiaoning Jiang, Stephanie Raney, Beth Gargan, Autumn Belk, Alice Warren, Anthony Moore, Lisa Chapman and Mike Martin.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Minutes</w:t>
      </w:r>
      <w:r w:rsidDel="00000000" w:rsidR="00000000" w:rsidRPr="00000000">
        <w:rPr>
          <w:rtl w:val="0"/>
        </w:rPr>
        <w:t xml:space="preserve">: January minutes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Kellogg Magrath, 8 proposals were reviewed by the Kellogg Magrath sub-committee and “Voices of Action” was chosen to move forward to Vice Provost and Provost.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Governor Holhouser award sub committee members needed to review submission. The following members were chosen, Angkana Bode, Autumn Belk and Percy Hooper.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O&amp;E Awards Ceremony - this ceremony is changing it’s format to be more integrated and aligned with O&amp;E Strategic Plan. We want this celebration to better reflect the strategic plan and to include external/internal partners and community leaders. The plan is to tie in awards and host a larger event in August with a networking focus.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SEED Grants - The proposal was not accepted by Dr. Rebar. O&amp;E is making decisions on next steps and timeline.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Selection of USCoEEED Vice Chair - Lisa Chapman says “YES”. Percy will be in touch with Harriett Edwards to check her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 Committee Chairs (Angkana Bode, Mark Megalos, Willa Casstevens) will need to submit email report of accomplishments to Percy Hooper by April 1st.  These reports will be included into committee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 Committee Report Out:</w:t>
      </w:r>
    </w:p>
    <w:p w:rsidR="00000000" w:rsidDel="00000000" w:rsidP="00000000" w:rsidRDefault="00000000" w:rsidRPr="00000000">
      <w:pPr>
        <w:contextualSpacing w:val="0"/>
      </w:pPr>
      <w:r w:rsidDel="00000000" w:rsidR="00000000" w:rsidRPr="00000000">
        <w:rPr>
          <w:rtl w:val="0"/>
        </w:rPr>
        <w:t xml:space="preserve">Sub-committee breakout 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Website subcommittee: Stephanie Raney - Outreach and Engagement planning to activate an internal-only O&amp;E website called FASE (Faculty and Staff Engagement) at oe.ncsu.edu/fase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Scholarship engagement subcommittee: Alice Warren - questions if Mary Lelik’s office is keeping reports of what engagement faculty members are doing, what information is included in faculty reports and where they can be found. Possibly utilize this information to get committee members and promote grants and awards.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Undergrad High Impact Student Engagement Subcommittee: Angkana Bode - defining service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Adjourn - 3:46pm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