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University Standing Committee for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Extension, Engagement, and Economic Development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h.luqk4rpiymq8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Research III, Room 109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1:30 – 3:30 p.m. Friday, October 23,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 - Percy Hooper, Mark Megalos, Alice Warren, Stephanie Raney, Daniel Snedden, Willa Casstevens, Autumn Belk and Angkana Bode.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Mark Megalos will be note taker.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Angkana will take notes for November 13th meeting.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September minutes approved, edit to include attendees.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Stephanie Raney Presentation- u</w:t>
      </w:r>
      <w:r w:rsidDel="00000000" w:rsidR="00000000" w:rsidRPr="00000000">
        <w:rPr>
          <w:rtl w:val="0"/>
        </w:rPr>
        <w:t xml:space="preserve">pdate on  O&amp;E Strategic plan as it relates to awards and recognition. She presented an action plan on process mapping and marketing these awards on a larger scale in order to increase the applicant pool. Awards and Recognition Task Force: Contact Lisa Grable regarding process mapping resource.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Goal 4 action item- must be cognisant of exam schedule when dissemination date is set. We also plan to include numbers of winner applicants from last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Opal Mann Green- the submission request was edited and approved by vote of the committee.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Motion to adjourn approved at 2:53pm</w:t>
      </w:r>
      <w:r w:rsidDel="00000000" w:rsidR="00000000" w:rsidRPr="00000000">
        <w:rPr>
          <w:color w:val="5b9bd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b9bd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