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8940"/>
        <w:tblGridChange w:id="0">
          <w:tblGrid>
            <w:gridCol w:w="2085"/>
            <w:gridCol w:w="8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</w:rPr>
              <w:drawing>
                <wp:inline distB="114300" distT="114300" distL="114300" distR="114300">
                  <wp:extent cx="1166813" cy="36762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3676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Title"/>
              <w:spacing w:after="0" w:lineRule="auto"/>
              <w:rPr>
                <w:rFonts w:ascii="Roboto" w:cs="Roboto" w:eastAsia="Roboto" w:hAnsi="Roboto"/>
                <w:color w:val="222222"/>
                <w:sz w:val="36"/>
                <w:szCs w:val="36"/>
                <w:highlight w:val="white"/>
              </w:rPr>
            </w:pPr>
            <w:bookmarkStart w:colFirst="0" w:colLast="0" w:name="_30iv24yarp0" w:id="0"/>
            <w:bookmarkEnd w:id="0"/>
            <w:r w:rsidDel="00000000" w:rsidR="00000000" w:rsidRPr="00000000">
              <w:rPr>
                <w:rFonts w:ascii="Roboto" w:cs="Roboto" w:eastAsia="Roboto" w:hAnsi="Roboto"/>
                <w:color w:val="222222"/>
                <w:sz w:val="36"/>
                <w:szCs w:val="36"/>
                <w:highlight w:val="white"/>
                <w:rtl w:val="0"/>
              </w:rPr>
              <w:t xml:space="preserve"> Evaluation of Teaching Agenda 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https://ncsu.zoom.us/j/97571014721?pwd=d2c2a0hZZDR6Mm94TURjZ25OTEFadz09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65.0" w:type="dxa"/>
        <w:jc w:val="left"/>
        <w:tblInd w:w="-92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10020"/>
        <w:tblGridChange w:id="0">
          <w:tblGrid>
            <w:gridCol w:w="1245"/>
            <w:gridCol w:w="100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1/22/2024 / Time:  110:00 - 12:00 pm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Agenda Items: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Vote to approve the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highlight w:val="white"/>
                  <w:u w:val="single"/>
                  <w:rtl w:val="0"/>
                </w:rPr>
                <w:t xml:space="preserve">November 20, 2023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 meeting minutes.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Roboto" w:cs="Roboto" w:eastAsia="Roboto" w:hAnsi="Roboto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Further discussion of Classeval proposed changes.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Roboto" w:cs="Roboto" w:eastAsia="Roboto" w:hAnsi="Roboto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Future Discussions/Topics from Committee Members.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Adjourn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-O9dx0-0yjD_5vlun-uOMWRhW4YyUEUXmwLC-OJO6rQ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